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5.xml" ContentType="application/vnd.openxmlformats-officedocument.wordprocessingml.header+xml"/>
  <Override PartName="/word/media/image1.jpeg" ContentType="image/jpeg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header7.xml" ContentType="application/vnd.openxmlformats-officedocument.wordprocessingml.header+xml"/>
  <Override PartName="/word/header6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lastRow="0" w:firstRow="1" w:lastColumn="0" w:firstColumn="1" w:val="04a0" w:noHBand="0" w:noVBand="1"/>
      </w:tblPr>
      <w:tblGrid>
        <w:gridCol w:w="4960"/>
        <w:gridCol w:w="4960"/>
      </w:tblGrid>
      <w:tr>
        <w:trPr/>
        <w:tc>
          <w:tcPr>
            <w:tcW w:w="49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>
            <w:pPr>
              <w:pStyle w:val="Style48"/>
              <w:widowControl w:val="false"/>
              <w:rPr/>
            </w:pPr>
            <w:r>
              <w:rPr/>
            </w:r>
          </w:p>
        </w:tc>
        <w:tc>
          <w:tcPr>
            <w:tcW w:w="49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>
            <w:pPr>
              <w:pStyle w:val="Normal"/>
              <w:widowControl w:val="false"/>
              <w:suppressAutoHyphens w:val="false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</w:r>
          </w:p>
          <w:p>
            <w:pPr>
              <w:pStyle w:val="Normal"/>
              <w:widowControl w:val="false"/>
              <w:suppressAutoHyphens w:val="false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</w:r>
          </w:p>
          <w:p>
            <w:pPr>
              <w:pStyle w:val="Normal"/>
              <w:widowControl w:val="false"/>
              <w:suppressAutoHyphens w:val="false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</w:r>
          </w:p>
          <w:p>
            <w:pPr>
              <w:pStyle w:val="Normal"/>
              <w:widowControl w:val="false"/>
              <w:suppressAutoHyphens w:val="false"/>
              <w:jc w:val="right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</w:r>
          </w:p>
        </w:tc>
      </w:tr>
    </w:tbl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sz w:val="32"/>
          <w:szCs w:val="32"/>
        </w:rPr>
      </w:pPr>
      <w:r>
        <w:rPr>
          <w:rFonts w:eastAsia="Calibri"/>
          <w:b/>
          <w:sz w:val="32"/>
          <w:szCs w:val="32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60" w:after="0"/>
        <w:contextualSpacing w:val="false"/>
        <w:jc w:val="center"/>
        <w:rPr>
          <w:sz w:val="32"/>
          <w:szCs w:val="32"/>
        </w:rPr>
      </w:pPr>
      <w:r>
        <w:rPr>
          <w:rFonts w:eastAsia="Calibri"/>
          <w:b/>
          <w:bCs/>
          <w:color w:val="000000"/>
          <w:sz w:val="32"/>
          <w:szCs w:val="32"/>
          <w:lang w:eastAsia="x-none"/>
        </w:rPr>
        <w:t>ОКПД2 42.91.20.190 Текущий ремонт сооружений Зеленчукской ГЭС-ГАЭС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60" w:after="0"/>
        <w:contextualSpacing w:val="false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w:t>пгт. Правокубанский 2026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20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Toc54646395">
            <w:r>
              <w:rPr>
                <w:webHidden/>
                <w:rStyle w:val="Style14"/>
                <w:vanish w:val="false"/>
              </w:rPr>
              <w:t>1.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Общие сведения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396">
            <w:r>
              <w:rPr>
                <w:webHidden/>
                <w:rStyle w:val="Style14"/>
                <w:iCs/>
                <w:vanish w:val="false"/>
              </w:rPr>
              <w:t>1.1.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Обозначения и сокращения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397">
            <w:r>
              <w:rPr>
                <w:webHidden/>
                <w:rStyle w:val="Style14"/>
                <w:iCs/>
                <w:vanish w:val="false"/>
              </w:rPr>
              <w:t>1.2.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Наименование выполняемых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398">
            <w:r>
              <w:rPr>
                <w:webHidden/>
                <w:rStyle w:val="Style14"/>
                <w:iCs/>
                <w:vanish w:val="false"/>
              </w:rPr>
              <w:t>1.3.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Цель выполнения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399">
            <w:r>
              <w:rPr>
                <w:webHidden/>
                <w:rStyle w:val="Style14"/>
                <w:iCs/>
                <w:vanish w:val="false"/>
              </w:rPr>
              <w:t>1.4.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_Toc54646399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 xml:space="preserve">Существующее положение 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00">
            <w:r>
              <w:rPr>
                <w:webHidden/>
                <w:rStyle w:val="Style14"/>
                <w:vanish w:val="false"/>
              </w:rPr>
              <w:t>Таблица 1. Перечень объектов заказчика</w:t>
              <w:tab/>
            </w:r>
          </w:hyperlink>
          <w:r>
            <w:rPr/>
            <w:t>6</w:t>
          </w:r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401">
            <w:r>
              <w:rPr>
                <w:webHidden/>
                <w:rStyle w:val="Style14"/>
                <w:iCs/>
                <w:vanish w:val="false"/>
              </w:rPr>
              <w:t>1.5.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      <w:tab/>
            </w:r>
          </w:hyperlink>
          <w:r>
            <w:rPr/>
            <w:t>7</w:t>
          </w:r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402">
            <w:r>
              <w:rPr>
                <w:webHidden/>
                <w:rStyle w:val="Style14"/>
                <w:iCs/>
                <w:vanish w:val="false"/>
              </w:rPr>
              <w:t>1.6.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</w:rPr>
              <w:t xml:space="preserve">Иные требования и сведения общего характера </w:t>
              <w:tab/>
            </w:r>
          </w:hyperlink>
          <w:r>
            <w:rPr/>
            <w:t>8</w:t>
          </w:r>
        </w:p>
        <w:p>
          <w:pPr>
            <w:pStyle w:val="TOC1"/>
            <w:tabs>
              <w:tab w:val="clear" w:pos="720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03">
            <w:r>
              <w:rPr>
                <w:webHidden/>
                <w:rStyle w:val="Style14"/>
                <w:vanish w:val="false"/>
              </w:rPr>
              <w:t>2.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4"/>
                <w:iCs/>
              </w:rPr>
              <w:t>Требования к выполняемым работам</w:t>
            </w:r>
            <w:r>
              <w:rPr>
                <w:rStyle w:val="Style14"/>
              </w:rPr>
              <w:tab/>
            </w:r>
          </w:hyperlink>
          <w:r>
            <w:rPr/>
            <w:t>8</w:t>
          </w:r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404">
            <w:r>
              <w:rPr>
                <w:webHidden/>
                <w:rStyle w:val="Style14"/>
                <w:iCs/>
                <w:vanish w:val="false"/>
              </w:rPr>
              <w:t>2.1.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</w:rPr>
              <w:t>Требования к объемам и срокам выполнения работ</w:t>
              <w:tab/>
            </w:r>
          </w:hyperlink>
          <w:r>
            <w:rPr/>
            <w:t>8</w:t>
          </w:r>
        </w:p>
        <w:p>
          <w:pPr>
            <w:pStyle w:val="TOC3"/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r>
            <w:rPr/>
            <w:t>2.1.1.</w:t>
            <w:tab/>
            <w:t>Требования к видам и объемам работ</w:t>
            <w:tab/>
            <w:t>8</w:t>
          </w:r>
        </w:p>
        <w:p>
          <w:pPr>
            <w:pStyle w:val="TOC1"/>
            <w:tabs>
              <w:tab w:val="clear" w:pos="720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0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2. Перечень и объем выполняемых работ</w:t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407">
            <w:r>
              <w:rPr>
                <w:webHidden/>
                <w:rStyle w:val="Style14"/>
                <w:vanish w:val="false"/>
              </w:rPr>
              <w:t>2.1.2.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Требования к срокам выполнения работ</w:t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0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_Toc54646408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3. Требования по срокам выполнения работ</w:t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20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4"/>
              <w:szCs w:val="24"/>
            </w:rPr>
          </w:pPr>
          <w:hyperlink w:anchor="_Toc54646409">
            <w:r>
              <w:rPr>
                <w:webHidden/>
                <w:rStyle w:val="Style14"/>
                <w:iCs/>
                <w:vanish w:val="false"/>
              </w:rPr>
              <w:t>2.2.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</w:rPr>
              <w:t>Требования к качеству работ</w:t>
              <w:tab/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sz w:val="24"/>
                <w:szCs w:val="24"/>
              </w:rPr>
              <w:t>1</w:t>
            </w:r>
          </w:hyperlink>
          <w:r>
            <w:rPr>
              <w:rFonts w:eastAsia="" w:cs="" w:ascii="Calibri" w:hAnsi="Calibri" w:asciiTheme="minorHAnsi" w:cstheme="minorBidi" w:eastAsiaTheme="minorEastAsia" w:hAnsiTheme="minorHAnsi"/>
              <w:sz w:val="24"/>
              <w:szCs w:val="24"/>
            </w:rPr>
            <w:t>1</w:t>
          </w:r>
        </w:p>
        <w:p>
          <w:pPr>
            <w:pStyle w:val="TOC1"/>
            <w:tabs>
              <w:tab w:val="clear" w:pos="720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hyperlink w:anchor="_Toc54646410">
            <w:r>
              <w:rPr>
                <w:webHidden/>
                <w:rStyle w:val="Style14"/>
                <w:vanish w:val="false"/>
              </w:rPr>
              <w:t>Таблица 4. Требования к качеству работ</w:t>
              <w:tab/>
              <w:t>1</w:t>
            </w:r>
          </w:hyperlink>
          <w:r>
            <w:rPr/>
            <w:t>1</w:t>
          </w:r>
        </w:p>
        <w:p>
          <w:pPr>
            <w:pStyle w:val="TOC1"/>
            <w:tabs>
              <w:tab w:val="clear" w:pos="720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</w:rPr>
          </w:pPr>
          <w:r>
            <w:rPr/>
            <w:t>3</w:t>
          </w:r>
          <w:hyperlink w:anchor="_Toc54646413">
            <w:r>
              <w:rPr>
                <w:webHidden/>
                <w:rStyle w:val="Style14"/>
                <w:vanish w:val="false"/>
              </w:rPr>
              <w:t>.</w:t>
            </w:r>
            <w:r>
              <w:rPr>
                <w:rStyle w:val="Style14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4"/>
                <w:iCs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_Toc54646413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4"/>
            </w:rPr>
            <w:fldChar w:fldCharType="end"/>
          </w:r>
        </w:p>
      </w:sdtContent>
    </w:sdt>
    <w:p>
      <w:pPr>
        <w:pStyle w:val="TOC1"/>
        <w:tabs>
          <w:tab w:val="clear" w:pos="720"/>
          <w:tab w:val="right" w:pos="9911" w:leader="dot"/>
        </w:tabs>
        <w:rPr>
          <w:rFonts w:ascii="Calibri" w:hAnsi="Calibri" w:eastAsia="" w:cs="" w:asciiTheme="minorHAnsi" w:cstheme="minorBidi" w:eastAsiaTheme="minorEastAsia" w:hAnsiTheme="minorHAnsi"/>
          <w:b w:val="false"/>
          <w:bCs w:val="false"/>
        </w:rPr>
      </w:pPr>
      <w:r>
        <w:rPr>
          <w:rFonts w:eastAsia="" w:cs="" w:cstheme="minorBidi" w:eastAsiaTheme="minorEastAsia" w:ascii="Calibri" w:hAnsi="Calibri"/>
          <w:b w:val="false"/>
          <w:bCs w:val="false"/>
        </w:rPr>
      </w:r>
    </w:p>
    <w:p>
      <w:pPr>
        <w:pStyle w:val="Heading2"/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54646395"/>
      <w:r>
        <w:rPr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/>
      </w:pPr>
      <w:bookmarkStart w:id="2" w:name="_Toc54646396"/>
      <w:bookmarkStart w:id="3" w:name="_Toc46743505"/>
      <w:r>
        <w:rPr/>
        <w:t>Обозначения и сокращения</w:t>
      </w:r>
      <w:bookmarkEnd w:id="2"/>
      <w:bookmarkEnd w:id="3"/>
    </w:p>
    <w:p>
      <w:pPr>
        <w:pStyle w:val="Normal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85"/>
        <w:gridCol w:w="7997"/>
      </w:tblGrid>
      <w:tr>
        <w:trPr>
          <w:trHeight w:val="555" w:hRule="atLeast"/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contextualSpacing w:val="false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contextualSpacing w:val="false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Стандарт организации ПАО «РусГидро»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contextualSpacing w:val="false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contextualSpacing w:val="false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contextualSpacing w:val="false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АБК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keepNext w:val="true"/>
              <w:keepLines/>
              <w:widowControl w:val="false"/>
              <w:spacing w:before="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Административно-бытовой блок </w:t>
            </w:r>
            <w:r>
              <w:rPr>
                <w:rFonts w:eastAsia="Calibri"/>
                <w:sz w:val="24"/>
                <w:szCs w:val="24"/>
              </w:rPr>
              <w:t>Зеленчукской ГЭС-ГАЭС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contextualSpacing w:val="false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ГЭС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Гидроэлектростанция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contextualSpacing w:val="false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ГАЭС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Гидроаккумулирующая электростанция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rPr/>
      </w:pPr>
      <w:bookmarkStart w:id="4" w:name="_Toc54646397"/>
      <w:bookmarkStart w:id="5" w:name="_Toc46743506"/>
      <w:r>
        <w:rPr/>
        <w:t xml:space="preserve">Наименование </w:t>
      </w:r>
      <w:bookmarkEnd w:id="4"/>
      <w:bookmarkEnd w:id="5"/>
      <w:r>
        <w:rPr/>
        <w:t>выполняемых работ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120" w:after="120"/>
        <w:contextualSpacing w:val="false"/>
        <w:jc w:val="both"/>
        <w:rPr/>
      </w:pPr>
      <w:r>
        <w:rPr>
          <w:color w:val="000000"/>
          <w:sz w:val="24"/>
          <w:szCs w:val="24"/>
          <w:shd w:fill="FFFFFF" w:val="clear"/>
        </w:rPr>
        <w:t>ОКПД2 42.91.20.190 Текущий ремонт сооружений Зеленчукской ГЭС-ГАЭС.</w:t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/>
      </w:pPr>
      <w:bookmarkStart w:id="6" w:name="_Toc46743507"/>
      <w:bookmarkStart w:id="7" w:name="_Toc54646398"/>
      <w:r>
        <w:rPr/>
        <w:t xml:space="preserve">Цель </w:t>
      </w:r>
      <w:bookmarkEnd w:id="6"/>
      <w:r>
        <w:rPr>
          <w:lang w:val="ru-RU"/>
        </w:rPr>
        <w:t>выполнения работ</w:t>
      </w:r>
      <w:bookmarkEnd w:id="7"/>
    </w:p>
    <w:p>
      <w:pPr>
        <w:pStyle w:val="Normal"/>
        <w:spacing w:before="240" w:after="60"/>
        <w:ind w:left="113" w:hanging="0"/>
        <w:contextualSpacing w:val="false"/>
        <w:jc w:val="both"/>
        <w:rPr/>
      </w:pPr>
      <w:r>
        <w:rPr>
          <w:sz w:val="24"/>
          <w:szCs w:val="24"/>
        </w:rPr>
        <w:t xml:space="preserve">1.3.1. Обеспечение надежности и безопасности </w:t>
      </w:r>
      <w:r>
        <w:rPr>
          <w:rStyle w:val="Style8"/>
          <w:b w:val="false"/>
          <w:i w:val="false"/>
          <w:color w:val="000000"/>
          <w:sz w:val="24"/>
          <w:szCs w:val="24"/>
          <w:shd w:fill="FFFFFF" w:val="clear"/>
        </w:rPr>
        <w:t>гидротехнических сооружений.</w:t>
      </w:r>
      <w:r>
        <w:rPr>
          <w:sz w:val="24"/>
          <w:szCs w:val="24"/>
        </w:rPr>
        <w:t xml:space="preserve"> Восстановление основных технических параметров конструкций </w:t>
      </w:r>
      <w:r>
        <w:rPr>
          <w:rStyle w:val="Style8"/>
          <w:b w:val="false"/>
          <w:i w:val="false"/>
          <w:color w:val="000000"/>
          <w:sz w:val="24"/>
          <w:szCs w:val="24"/>
          <w:shd w:fill="FFFFFF" w:val="clear"/>
        </w:rPr>
        <w:t>гидротехнических сооружений</w:t>
      </w:r>
      <w:r>
        <w:rPr>
          <w:sz w:val="24"/>
          <w:szCs w:val="24"/>
        </w:rPr>
        <w:t xml:space="preserve"> в соответствии с действующими нормами </w:t>
      </w:r>
      <w:r>
        <w:rPr>
          <w:rFonts w:eastAsia="Calibri"/>
          <w:sz w:val="24"/>
          <w:szCs w:val="24"/>
          <w:lang w:eastAsia="x-none"/>
        </w:rPr>
        <w:t>после выполнения.</w:t>
      </w:r>
    </w:p>
    <w:p>
      <w:pPr>
        <w:pStyle w:val="Heading4"/>
        <w:numPr>
          <w:ilvl w:val="1"/>
          <w:numId w:val="3"/>
        </w:numPr>
        <w:rPr/>
      </w:pPr>
      <w:bookmarkStart w:id="8" w:name="_Toc46743508"/>
      <w:bookmarkStart w:id="9" w:name="_Toc54646399"/>
      <w:r>
        <w:rPr/>
        <w:t>Существующее положение</w:t>
      </w:r>
      <w:bookmarkEnd w:id="8"/>
      <w:r>
        <w:rPr>
          <w:lang w:val="ru-RU"/>
        </w:rPr>
        <w:t xml:space="preserve"> </w:t>
      </w:r>
      <w:bookmarkEnd w:id="9"/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1.4.1. Зеленчукская ГЭС - ГАЭС – деривационная гидроэлектростанция, расположена около поселка Правокубанский и аула Сары-Тюз Карачаевского района Карачаево-Черкесской Республики, в 42 км южнее г. Черкесска.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1.4.1.1 Техническая схема Зеленчукской ГЭС- ГАЭС построена на объединении части стока рек Большой и Малый Зеленчуки и переброске объединенного стока в р. Кубань. Забор воды осуществляется из водохранилищ трех однотипных водозаборных гидроузлов, расположенных последовательно на реках Большой Зеленчук, Маруха и Аксаут. По деривационным сооружениям вода из водозаборных гидроузлов поступает в бассейн суточного регулирования (БСР) и из бассейна по напорным трубопроводам и туннелям подается на гидроагрегаты в здание ГЭС-ГАЭС, расположенное вблизи русла р. Кубань. Общая площадь гидротехнического комплекса Зеленчукской ГЭС-ГАЭС по проекту составляет 957 га (согласно актам отвода земельных участков). Комплекс предназначен для энергетических целей (выработка эл. Энергии).</w:t>
      </w:r>
    </w:p>
    <w:p>
      <w:pPr>
        <w:pStyle w:val="Normal"/>
        <w:widowControl w:val="false"/>
        <w:ind w:left="-567" w:firstLine="567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Водозаборный гидроузел на реке Маруха, водопропускной железобетонный закрытый лоток.</w:t>
      </w:r>
    </w:p>
    <w:p>
      <w:pPr>
        <w:pStyle w:val="Normal"/>
        <w:widowControl w:val="false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 </w:t>
      </w:r>
      <w:r>
        <w:rPr>
          <w:rStyle w:val="Style8"/>
          <w:b w:val="false"/>
          <w:i w:val="false"/>
          <w:sz w:val="24"/>
          <w:szCs w:val="24"/>
          <w:shd w:fill="auto" w:val="clear"/>
        </w:rPr>
        <w:t>В пределах земляной плотины водопропускной железобетонный закрытый лоток имеет вид одноочковой трубы с размерами прямоугольного отверстия в свету 3,5</w:t>
      </w:r>
      <w:r>
        <w:rPr>
          <w:rStyle w:val="Style8"/>
          <w:b w:val="false"/>
          <w:i w:val="false"/>
          <w:sz w:val="24"/>
          <w:szCs w:val="24"/>
          <w:shd w:fill="auto" w:val="clear"/>
          <w:lang w:val="en-US"/>
        </w:rPr>
        <w:t> </w:t>
      </w:r>
      <w:r>
        <w:rPr>
          <w:rStyle w:val="Style8"/>
          <w:b w:val="false"/>
          <w:i w:val="false"/>
          <w:sz w:val="24"/>
          <w:szCs w:val="24"/>
          <w:shd w:fill="auto" w:val="clear"/>
        </w:rPr>
        <w:t>м х 4,5 м для пропуска расхода 45 м</w:t>
      </w:r>
      <w:r>
        <w:rPr>
          <w:rStyle w:val="Style8"/>
          <w:b w:val="false"/>
          <w:i w:val="false"/>
          <w:sz w:val="24"/>
          <w:szCs w:val="24"/>
          <w:shd w:fill="auto" w:val="clear"/>
          <w:vertAlign w:val="superscript"/>
        </w:rPr>
        <w:t>3</w:t>
      </w:r>
      <w:r>
        <w:rPr>
          <w:rStyle w:val="Style8"/>
          <w:b w:val="false"/>
          <w:i w:val="false"/>
          <w:sz w:val="24"/>
          <w:szCs w:val="24"/>
          <w:shd w:fill="auto" w:val="clear"/>
        </w:rPr>
        <w:t>/с. После соединения с отводящим лотком водозабора водопропускной лоток имеет вид двухочковой трубы с размерами прямоугольных отверстий в свету 3,5 (высота) х 4,5 м (ширина). Оголовок водозабора соединяется с водопропускным лотком с помощью сопрягающего лотка и двух секций железобетонного лотка. После этого пропускная способность водопропускного лотка увеличивается до 60 м</w:t>
      </w:r>
      <w:r>
        <w:rPr>
          <w:rStyle w:val="Style8"/>
          <w:b w:val="false"/>
          <w:i w:val="false"/>
          <w:sz w:val="24"/>
          <w:szCs w:val="24"/>
          <w:shd w:fill="auto" w:val="clear"/>
          <w:vertAlign w:val="superscript"/>
        </w:rPr>
        <w:t>3</w:t>
      </w:r>
      <w:r>
        <w:rPr>
          <w:rStyle w:val="Style8"/>
          <w:b w:val="false"/>
          <w:i w:val="false"/>
          <w:sz w:val="24"/>
          <w:szCs w:val="24"/>
          <w:shd w:fill="auto" w:val="clear"/>
        </w:rPr>
        <w:t>/с</w:t>
      </w:r>
    </w:p>
    <w:p>
      <w:pPr>
        <w:pStyle w:val="Normal"/>
        <w:ind w:left="360" w:hanging="0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Водозаборный гидроузел на реке Аксаут.</w:t>
      </w:r>
    </w:p>
    <w:p>
      <w:pPr>
        <w:pStyle w:val="Normal"/>
        <w:widowControl w:val="false"/>
        <w:ind w:firstLine="360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Земляная плотина с отстойником Левобережный участок земляной плотины от выходного оголовка туннеля до водосброса выполнен из гравийно-галечного грунта с суглинистым экраном и понуром. Отметка гребня по бровке верхового откоса – 998,45 м. Заложение верхового откоса 1:7, низового – 1:2,5. Верховая часть выполнена в виде засыпанной подпорной стенки уголкового типа. Правобережный участок земляной плотины от водозабора до отстойника выполнен из гравийно-галечного грунта с суглинистым экраном и понуром</w:t>
      </w:r>
    </w:p>
    <w:p>
      <w:pPr>
        <w:pStyle w:val="Normal"/>
        <w:ind w:firstLine="708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Водосброс с шугосбросом  выполнены в виде входного оголовка и лотка с концевым консольным сбросом. Два отверстия водосброса шириной по 10 м с отметкой порога 990,55 м перекрываются сегментными затворами, а одно отверстие шугосброса, шириной 6 м, оборудовано клапанным затвором. Входной оголовок состоит из двух секций с размерами вдоль тока воды: первая – 21,5 м, вторая – 16,5 м. На первой секции устроен мостовой переход. Часть водосброса, примыкающая к входному оголовку со стороны нижнего бьефа, выполнена в виде железобетонного быстротока доковой конструкции, расширяющегося в плане.</w:t>
      </w:r>
    </w:p>
    <w:p>
      <w:pPr>
        <w:pStyle w:val="Normal"/>
        <w:ind w:firstLine="708"/>
        <w:jc w:val="both"/>
        <w:rPr/>
      </w:pPr>
      <w:r>
        <w:rPr>
          <w:sz w:val="24"/>
          <w:szCs w:val="24"/>
        </w:rPr>
        <w:t>Водозабор с промывными галереями примыкают к водосбросу с правой стороны по стоку воды. Водозабор отделен от водосброса температурно-осадочными швами. В здании водозабора размером в плане 34,2х8,5 м высотой 9,77м до низа балок покрытия предусмотрены помещения механизмов, щита управления, электрощитовой, поплавковых колодцев и служебные  помещения. Здание оборудовано подвесным краном г/п 5 т и эстакады с размещенными на ней канатными механизмами для подъема затворов. Снаружи на консолях железобетонных балок подвешены монорельсы под тали г/п 5 и 3,2 т.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Каркас – типовые сборные железобетонные колонны, устанавливаемые в стаканы  в гидротехническом бетоне. Стены кирпичные с расшивкой швов и антисейсмическим поясом в уровне покрытия. Покрытие – сборные железобетонные балки с параллельными поясами и плоские плиты индивидуального изготовления. Окна двойные деревянные с двойным остеклением. Двери деревянные. Кровля – шатровая с оцинкованным покрытием по деревянным стропильным фермам. Водозабор машинный зал- допустимая полезная  нагрузка 3,5 тс/м².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1.4.2 Физико-географическая характеристика.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Площадки существующих сооружений Зеленчукской ГЭС-ГАЭС расположены на высотах 740-1012 м между метеостанциями г. Карачаевск (высота 861 м) и г. Черкесск (высота 525 м). Сейсмичность площадки строительства – 8 баллов (карта общего сейсмического районирования ОСР-2015).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Климатические условия в месте расположения Зеленчукской ГЭС-ГАЭС: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а) Температура воздуха в районе строительства: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- максимальная, </w:t>
      </w:r>
      <w:r>
        <w:rPr>
          <w:rStyle w:val="Style8"/>
          <w:b w:val="false"/>
          <w:i w:val="false"/>
          <w:sz w:val="24"/>
          <w:szCs w:val="24"/>
          <w:shd w:fill="auto" w:val="clear"/>
          <w:vertAlign w:val="superscript"/>
        </w:rPr>
        <w:t xml:space="preserve">o </w:t>
      </w:r>
      <w:r>
        <w:rPr>
          <w:rStyle w:val="Style8"/>
          <w:b w:val="false"/>
          <w:i w:val="false"/>
          <w:sz w:val="24"/>
          <w:szCs w:val="24"/>
          <w:shd w:fill="auto" w:val="clear"/>
        </w:rPr>
        <w:t>С +38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- минимальная, </w:t>
      </w:r>
      <w:r>
        <w:rPr>
          <w:rStyle w:val="Style8"/>
          <w:b w:val="false"/>
          <w:i w:val="false"/>
          <w:sz w:val="24"/>
          <w:szCs w:val="24"/>
          <w:shd w:fill="auto" w:val="clear"/>
          <w:vertAlign w:val="superscript"/>
        </w:rPr>
        <w:t xml:space="preserve">o </w:t>
      </w:r>
      <w:r>
        <w:rPr>
          <w:rStyle w:val="Style8"/>
          <w:b w:val="false"/>
          <w:i w:val="false"/>
          <w:sz w:val="24"/>
          <w:szCs w:val="24"/>
          <w:shd w:fill="auto" w:val="clear"/>
        </w:rPr>
        <w:t>С - 31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- среднегодовая </w:t>
      </w:r>
      <w:r>
        <w:rPr>
          <w:rStyle w:val="Style8"/>
          <w:b w:val="false"/>
          <w:i w:val="false"/>
          <w:sz w:val="24"/>
          <w:szCs w:val="24"/>
          <w:shd w:fill="auto" w:val="clear"/>
          <w:vertAlign w:val="superscript"/>
        </w:rPr>
        <w:t xml:space="preserve">o </w:t>
      </w:r>
      <w:r>
        <w:rPr>
          <w:rStyle w:val="Style8"/>
          <w:b w:val="false"/>
          <w:i w:val="false"/>
          <w:sz w:val="24"/>
          <w:szCs w:val="24"/>
          <w:shd w:fill="auto" w:val="clear"/>
        </w:rPr>
        <w:t>С +8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б) Относительная влажность, %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- среднемесячная максимальная, 73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- среднемесячная минимальная, 66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в) Среднегодовая скорость ветра, м/с 3,1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Согласно СП 131.13330.2020 «Строительная климатология» (с Изменением №1)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актуализированная редакция СНиП 23-01-99* , район реконструкции сооружений Зеленчукской ГЭС-ГАЭС характеризуется следующими климатическими характеристиками: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- климатический район строительства – III - климатический подрайон строительства – III Б;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- температура воздуха наиболее холодной пятидневки при обеспеченности 0,92 t н = минус 18 </w:t>
      </w:r>
      <w:r>
        <w:rPr>
          <w:rStyle w:val="Style8"/>
          <w:b w:val="false"/>
          <w:i w:val="false"/>
          <w:sz w:val="24"/>
          <w:szCs w:val="24"/>
          <w:shd w:fill="auto" w:val="clear"/>
          <w:vertAlign w:val="superscript"/>
        </w:rPr>
        <w:t>0</w:t>
      </w:r>
      <w:r>
        <w:rPr>
          <w:rStyle w:val="Style8"/>
          <w:b w:val="false"/>
          <w:i w:val="false"/>
          <w:sz w:val="24"/>
          <w:szCs w:val="24"/>
          <w:shd w:fill="auto" w:val="clear"/>
        </w:rPr>
        <w:t>С;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- средняя температура периода со среднесуточной температурой наружного воздуха не более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минус 8 </w:t>
      </w:r>
      <w:r>
        <w:rPr>
          <w:rStyle w:val="Style8"/>
          <w:b w:val="false"/>
          <w:i w:val="false"/>
          <w:sz w:val="24"/>
          <w:szCs w:val="24"/>
          <w:shd w:fill="auto" w:val="clear"/>
          <w:vertAlign w:val="superscript"/>
        </w:rPr>
        <w:t>0</w:t>
      </w: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 С – t ср = минус 0,6 </w:t>
      </w:r>
      <w:r>
        <w:rPr>
          <w:rStyle w:val="Style8"/>
          <w:b w:val="false"/>
          <w:i w:val="false"/>
          <w:sz w:val="24"/>
          <w:szCs w:val="24"/>
          <w:shd w:fill="auto" w:val="clear"/>
          <w:vertAlign w:val="superscript"/>
        </w:rPr>
        <w:t>0</w:t>
      </w: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 С;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- по расчетному значению веса снегового покрова для II района по СП 20.13330.2016 (с</w:t>
      </w:r>
    </w:p>
    <w:p>
      <w:pPr>
        <w:pStyle w:val="Normal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изменением No4), актуализированная редакция СНиП 2.01.07-85* «Нагрузки и воздействия»-кПа=120кгс/м 2.</w:t>
      </w:r>
    </w:p>
    <w:p>
      <w:pPr>
        <w:pStyle w:val="Normal"/>
        <w:rPr>
          <w:rStyle w:val="Style8"/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</w:r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10" w:name="_Toc54646400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10"/>
    </w:p>
    <w:tbl>
      <w:tblPr>
        <w:tblW w:w="991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17"/>
        <w:gridCol w:w="2827"/>
        <w:gridCol w:w="1880"/>
        <w:gridCol w:w="1974"/>
        <w:gridCol w:w="2420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60" w:after="0"/>
              <w:contextualSpacing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защитного слоя бетона и устранение мест выщелачивания здания Водозабора с промывными галереями гидроузла на реке Аксаут, Зеленчукской ГЭС-ГАЭС.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КЧР, Зеленчукский район, </w:t>
            </w:r>
            <w:r>
              <w:rPr>
                <w:color w:val="000000"/>
                <w:sz w:val="24"/>
                <w:szCs w:val="24"/>
              </w:rPr>
              <w:t>гидроузел на реке Аксаут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Здание Аксаутского гидроузла (Водозабор) Инв.№2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организация: ПАО РусГидро»-Карачаево-Черкесский филиал»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Текущий ремонт защитного слоя бетона и устранение мест выщелачивания здания водосброса с шугосбросом гидроузла на реке Аксаут, Зеленчукской ГЭС-ГАЭС</w:t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КЧР, Зеленчукский район, </w:t>
            </w:r>
            <w:r>
              <w:rPr>
                <w:color w:val="000000"/>
                <w:sz w:val="24"/>
                <w:szCs w:val="24"/>
              </w:rPr>
              <w:t>гидроузел на реке Аксаут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Аксаутский гидроузел водосброс Инв.№3569</w:t>
            </w:r>
          </w:p>
        </w:tc>
        <w:tc>
          <w:tcPr>
            <w:tcW w:w="2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организация: ПАО РусГидро»-Карачаево-Черкесский филиал»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бермы канала Аксаут - Кардоник ПК119-ПК120, Зеленчукской ГЭС-ГАЭС</w:t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КЧР, Зеленчукский район,  </w:t>
            </w:r>
            <w:r>
              <w:rPr>
                <w:color w:val="000000"/>
                <w:sz w:val="24"/>
                <w:szCs w:val="24"/>
              </w:rPr>
              <w:t>канал Аксаут - Кардоник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 Аксаут-Кардоник с отстойником и Рыбоходом Инв.№ 5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организация: ПАО РусГидро»-Карачаево-Черкесский филиал»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гребня и низового откоса земляной плотины гидроузла на реке Аксаут Зеленчукской ГЭС-ГАЭС</w:t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КЧР, Зеленчукский район, </w:t>
            </w:r>
            <w:r>
              <w:rPr>
                <w:color w:val="000000"/>
                <w:sz w:val="24"/>
                <w:szCs w:val="24"/>
              </w:rPr>
              <w:t>гидроузел на реке Аксаут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Водозаборный гидроузел на реке Аксаут (плотина) Инв.№ 2-1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организация: ПАО РусГидро»-Карачаево-Черкесский филиал»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защитного слоя бетона плит крепления откосов отстойника с рыбоходом и Аварийно-перегораживающем сооружением Зеленчукской ГЭС-ГАЭС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КЧР, Зеленчукский район, </w:t>
            </w:r>
            <w:r>
              <w:rPr>
                <w:color w:val="000000"/>
                <w:sz w:val="24"/>
                <w:szCs w:val="24"/>
              </w:rPr>
              <w:t>гидроузел на реке Аксаут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 Аксаут-Кардоник с отстойником и Рыбоходом Инв.№ 5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организация: ПАО РусГидро»-Карачаево-Черкесский филиал»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  закрытого лотка гидроузла на реке Маруха Зеленчукской ГЭС-ГАЭС</w:t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РФ, КЧР, Зеленчукский район, </w:t>
            </w:r>
            <w:r>
              <w:rPr>
                <w:color w:val="000000"/>
                <w:sz w:val="24"/>
                <w:szCs w:val="24"/>
              </w:rPr>
              <w:t>гидроузел на реке Маруха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Лоток на плотине через реку Маруха, прот 301м, Инв.№400009</w:t>
            </w:r>
          </w:p>
        </w:tc>
        <w:tc>
          <w:tcPr>
            <w:tcW w:w="2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организация: ПАО РусГидро»-Карачаево-Черкесский филиал»</w:t>
            </w:r>
          </w:p>
        </w:tc>
      </w:tr>
    </w:tbl>
    <w:p>
      <w:pPr>
        <w:pStyle w:val="Heading4"/>
        <w:numPr>
          <w:ilvl w:val="1"/>
          <w:numId w:val="3"/>
        </w:numPr>
        <w:rPr/>
      </w:pPr>
      <w:bookmarkStart w:id="11" w:name="_Toc54646401"/>
      <w:bookmarkStart w:id="12" w:name="_Hlk49857604"/>
      <w:bookmarkStart w:id="13" w:name="_Toc46743509"/>
      <w:r>
        <w:rPr/>
        <w:t xml:space="preserve">Информация в отношении исполнения договора, </w:t>
      </w:r>
      <w:bookmarkStart w:id="14" w:name="_Hlk46492347"/>
      <w:r>
        <w:rPr/>
        <w:t xml:space="preserve">которая должна быть учтена при подготовке заявки </w:t>
      </w:r>
      <w:bookmarkEnd w:id="14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 этапе исполнения договора)</w:t>
      </w:r>
      <w:bookmarkEnd w:id="12"/>
      <w:bookmarkEnd w:id="13"/>
      <w:r>
        <w:rPr>
          <w:lang w:val="ru-RU"/>
        </w:rPr>
        <w:t xml:space="preserve"> </w:t>
      </w:r>
      <w:bookmarkEnd w:id="11"/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113" w:after="0"/>
        <w:contextualSpacing w:val="false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1.5.1 Заказчик предоставляет подрядчику:  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0"/>
        <w:contextualSpacing w:val="false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1.5.1.1. При необходимости предоставляется возможность работы с технической документацией (паспорта оборудования, заводские чертежи, технические отчеты по предыдущим ремонтам, результаты испытаний оборудования) в архиве ГЭС и архиве ПТС (если запрашиваемая документация  не подпадает к категории «для служебного пользования» (ДСП), либо категории «Секретно».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0"/>
        <w:contextualSpacing w:val="false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1.5.1.2. Заказчик обеспечивает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работ.  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0"/>
        <w:contextualSpacing w:val="false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1.5.1.3. Обеспечение санитарно-гигиенических и бытовых условий;  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0"/>
        <w:contextualSpacing w:val="false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 xml:space="preserve">1.5.1.4. В случае необходимости, Заказчик предоставляет Подрядчику номера внутренней и номера внешней телефонной связи. Оплату за пользование телефонной связью производит Подрядчик по счетам, предъявляемым Заказчиком.  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0"/>
        <w:contextualSpacing w:val="false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1.5.1.5. Ознакомление Подрядчика с локальными нормативными актами заказчика, устанавливающими требования по охране труда, промышленной и пожарной безопасности, охране окружающей среды, правилами пропускного и внутриобъектового режима Заказчика.</w:t>
      </w:r>
    </w:p>
    <w:p>
      <w:pPr>
        <w:pStyle w:val="Heading4"/>
        <w:numPr>
          <w:ilvl w:val="1"/>
          <w:numId w:val="3"/>
        </w:numPr>
        <w:rPr/>
      </w:pPr>
      <w:bookmarkStart w:id="15" w:name="_Toc54646402"/>
      <w:bookmarkStart w:id="16" w:name="_Toc46743510"/>
      <w:bookmarkStart w:id="17" w:name="_Toc50125126"/>
      <w:bookmarkStart w:id="18" w:name="_Hlk48209761_Копия_1"/>
      <w:bookmarkEnd w:id="16"/>
      <w:bookmarkEnd w:id="17"/>
      <w:bookmarkEnd w:id="18"/>
      <w:r>
        <w:rPr/>
        <w:t>Иные требования и сведения общего характера</w:t>
      </w:r>
      <w:r>
        <w:rPr>
          <w:lang w:val="ru-RU"/>
        </w:rPr>
        <w:t xml:space="preserve"> </w:t>
      </w:r>
      <w:bookmarkEnd w:id="15"/>
    </w:p>
    <w:p>
      <w:pPr>
        <w:pStyle w:val="Normal"/>
        <w:rPr/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>1.6.1. Условия производства работ:</w:t>
      </w:r>
    </w:p>
    <w:p>
      <w:pPr>
        <w:pStyle w:val="Normal"/>
        <w:rPr/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>1.6.1.1. Комплекс ремонтных  работ выполняется на действующем предприятии в стесненных условиях.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19" w:name="_Toc54646403"/>
      <w:bookmarkStart w:id="20" w:name="_Toc51339693"/>
      <w:r>
        <w:rPr>
          <w:iCs/>
        </w:rPr>
        <w:t>Требования к продукции</w:t>
      </w:r>
      <w:bookmarkEnd w:id="19"/>
      <w:bookmarkEnd w:id="20"/>
    </w:p>
    <w:p>
      <w:pPr>
        <w:pStyle w:val="Heading4"/>
        <w:numPr>
          <w:ilvl w:val="1"/>
          <w:numId w:val="3"/>
        </w:numPr>
        <w:rPr/>
      </w:pPr>
      <w:bookmarkStart w:id="21" w:name="_Toc54646404"/>
      <w:r>
        <w:rPr/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21"/>
    </w:p>
    <w:p>
      <w:pPr>
        <w:pStyle w:val="Heading3"/>
        <w:numPr>
          <w:ilvl w:val="2"/>
          <w:numId w:val="3"/>
        </w:numPr>
        <w:rPr/>
      </w:pPr>
      <w:bookmarkStart w:id="22" w:name="_Toc54646405"/>
      <w:r>
        <w:rPr>
          <w:lang w:val="ru-RU"/>
        </w:rPr>
        <w:t>Требования к видам и объемам работ</w:t>
      </w:r>
      <w:bookmarkEnd w:id="22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23" w:name="_Toc51339695"/>
      <w:bookmarkStart w:id="24" w:name="_Toc5464640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3"/>
      <w:r>
        <w:rPr>
          <w:sz w:val="24"/>
          <w:szCs w:val="24"/>
          <w:lang w:val="ru-RU"/>
        </w:rPr>
        <w:t>и объем выполняемых работ</w:t>
      </w:r>
      <w:bookmarkEnd w:id="24"/>
    </w:p>
    <w:tbl>
      <w:tblPr>
        <w:tblW w:w="9810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722"/>
        <w:gridCol w:w="5177"/>
        <w:gridCol w:w="3911"/>
      </w:tblGrid>
      <w:tr>
        <w:trPr/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выполняемых работ</w:t>
            </w:r>
          </w:p>
        </w:tc>
      </w:tr>
      <w:tr>
        <w:trPr/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/>
            </w:pPr>
            <w:r>
              <w:rPr/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60" w:after="0"/>
              <w:contextualSpacing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защитного слоя бетона и устранение мест выщелачивания здания Водозабора с промывными галереями гидроузла на реке Аксаут, Зеленчукской ГЭС-ГАЭС.</w:t>
            </w:r>
          </w:p>
        </w:tc>
        <w:tc>
          <w:tcPr>
            <w:tcW w:w="3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0"/>
                <w:sz w:val="24"/>
                <w:u w:val="none"/>
                <w:em w:val="none"/>
              </w:rPr>
              <w:t>Работы выполняются в соответствии с ведомостями объемов работ (Приложение №</w:t>
              <w:softHyphen/>
              <w:softHyphen/>
              <w:softHyphen/>
              <w:t xml:space="preserve"> 1 к настоящим Техническим требованиям) и</w:t>
            </w:r>
            <w:r>
              <w:rPr>
                <w:b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0"/>
                <w:sz w:val="22"/>
                <w:u w:val="none"/>
                <w:em w:val="none"/>
              </w:rPr>
              <w:t xml:space="preserve"> сметной документацией (Приложение № 5 к настоящим Техническим требованиям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/>
            </w:pPr>
            <w:r>
              <w:rPr/>
            </w:r>
          </w:p>
        </w:tc>
        <w:tc>
          <w:tcPr>
            <w:tcW w:w="5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Текущий ремонт защитного слоя бетона и устранение мест выщелачивания здания водосброса с шугосбросом гидроузла на реке Аксаут, Зеленчукской ГЭС-ГАЭС</w:t>
            </w:r>
          </w:p>
        </w:tc>
        <w:tc>
          <w:tcPr>
            <w:tcW w:w="39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/>
            </w:pPr>
            <w:r>
              <w:rPr/>
            </w:r>
          </w:p>
        </w:tc>
        <w:tc>
          <w:tcPr>
            <w:tcW w:w="5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бермы канала Аксаут - Кардоник ПК119-ПК120, Зеленчукской ГЭС-ГАЭС</w:t>
            </w:r>
          </w:p>
        </w:tc>
        <w:tc>
          <w:tcPr>
            <w:tcW w:w="39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/>
            </w:pPr>
            <w:r>
              <w:rPr/>
            </w:r>
          </w:p>
        </w:tc>
        <w:tc>
          <w:tcPr>
            <w:tcW w:w="5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гребня и низового откоса земляной плотины гидроузла на реке Аксаут Зеленчукской ГЭС-ГАЭС</w:t>
            </w:r>
          </w:p>
        </w:tc>
        <w:tc>
          <w:tcPr>
            <w:tcW w:w="39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/>
            </w:pPr>
            <w:r>
              <w:rPr/>
            </w:r>
          </w:p>
        </w:tc>
        <w:tc>
          <w:tcPr>
            <w:tcW w:w="5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защитного слоя бетона плит крепления откосов отстойника с рыбоходом и Аварийно-перегораживающем сооружением Зеленчукской ГЭС-ГАЭС</w:t>
            </w:r>
          </w:p>
        </w:tc>
        <w:tc>
          <w:tcPr>
            <w:tcW w:w="39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/>
            </w:pPr>
            <w:r>
              <w:rPr/>
            </w:r>
          </w:p>
        </w:tc>
        <w:tc>
          <w:tcPr>
            <w:tcW w:w="5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  закрытого лотка гидроузла на реке Маруха Зеленчукской ГЭС-ГАЭС</w:t>
            </w:r>
          </w:p>
        </w:tc>
        <w:tc>
          <w:tcPr>
            <w:tcW w:w="39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426" w:leader="none"/>
        </w:tabs>
        <w:spacing w:before="120" w:after="120"/>
        <w:ind w:firstLine="142"/>
        <w:contextualSpacing w:val="false"/>
        <w:rPr>
          <w:bCs/>
          <w:i/>
          <w:i/>
          <w:sz w:val="24"/>
          <w:szCs w:val="24"/>
          <w:shd w:fill="FFFF99" w:val="clear"/>
        </w:rPr>
      </w:pPr>
      <w:r>
        <w:rPr>
          <w:bCs/>
          <w:i/>
          <w:sz w:val="24"/>
          <w:szCs w:val="24"/>
          <w:shd w:fill="FFFF99" w:val="clear"/>
        </w:rPr>
      </w:r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25" w:name="_Toc54646407"/>
      <w:bookmarkStart w:id="26" w:name="_Toc51339696"/>
      <w:r>
        <w:rPr>
          <w:lang w:val="ru-RU"/>
        </w:rPr>
        <w:t xml:space="preserve">Требования </w:t>
      </w:r>
      <w:bookmarkEnd w:id="26"/>
      <w:r>
        <w:rPr>
          <w:lang w:val="ru-RU"/>
        </w:rPr>
        <w:t>к срокам выполнения работ</w:t>
      </w:r>
      <w:bookmarkEnd w:id="25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27" w:name="_Toc50125126_Копия_1"/>
      <w:bookmarkStart w:id="28" w:name="_Toc51339697"/>
      <w:bookmarkStart w:id="29" w:name="_Toc54646408"/>
      <w:bookmarkStart w:id="30" w:name="_Toc50125127"/>
      <w:bookmarkEnd w:id="2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1" w:name="_Hlk50465284"/>
      <w:r>
        <w:rPr>
          <w:sz w:val="24"/>
          <w:szCs w:val="24"/>
        </w:rPr>
        <w:t xml:space="preserve">Требования по срокам </w:t>
      </w:r>
      <w:bookmarkEnd w:id="28"/>
      <w:bookmarkEnd w:id="30"/>
      <w:bookmarkEnd w:id="31"/>
      <w:r>
        <w:rPr>
          <w:sz w:val="24"/>
          <w:szCs w:val="24"/>
          <w:lang w:val="ru-RU"/>
        </w:rPr>
        <w:t>выполнения работ</w:t>
      </w:r>
      <w:bookmarkEnd w:id="29"/>
    </w:p>
    <w:p>
      <w:pPr>
        <w:pStyle w:val="BodyText"/>
        <w:widowControl w:val="false"/>
        <w:tabs>
          <w:tab w:val="clear" w:pos="720"/>
          <w:tab w:val="left" w:pos="0" w:leader="none"/>
        </w:tabs>
        <w:spacing w:before="0" w:after="0"/>
        <w:ind w:firstLine="567"/>
        <w:jc w:val="both"/>
        <w:rPr/>
      </w:pPr>
      <w:r>
        <w:rPr>
          <w:bCs/>
          <w:sz w:val="24"/>
          <w:szCs w:val="24"/>
        </w:rPr>
        <w:t xml:space="preserve">Работы выполняются в соответствии с графиком производства работ. График разрабатывается Подрядчиком и утверждается Заказчиком. </w:t>
      </w:r>
    </w:p>
    <w:p>
      <w:pPr>
        <w:pStyle w:val="ListParagraph"/>
        <w:widowControl w:val="false"/>
        <w:ind w:left="0" w:firstLine="567"/>
        <w:jc w:val="both"/>
        <w:rPr/>
      </w:pPr>
      <w:r>
        <w:rPr>
          <w:bCs/>
        </w:rPr>
        <w:t>Для соблюдения сроков выполнения работ Подрядчик должен учесть необходимость выполнения работ в несколько смен, а также в выходные и праздничные дни.</w:t>
      </w:r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131"/>
        <w:gridCol w:w="2549"/>
        <w:gridCol w:w="2980"/>
        <w:gridCol w:w="3115"/>
      </w:tblGrid>
      <w:tr>
        <w:trPr/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2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2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/>
            </w:pPr>
            <w:r>
              <w:rPr/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60" w:after="0"/>
              <w:contextualSpacing w:val="false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Текущий ремонт защитного слоя бетона и устранение мест выщелачивания здания Водозабора с промывными галереями гидроузла на реке Аксаут, Зеленчукской ГЭС-ГАЭС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09.10.2026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20.03.2027</w:t>
            </w:r>
          </w:p>
        </w:tc>
      </w:tr>
      <w:tr>
        <w:trPr/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/>
            </w:pPr>
            <w:r>
              <w:rPr/>
            </w:r>
          </w:p>
        </w:tc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защитного слоя бетона и устранение мест выщелачивания здания водосброса с шугосбросом гидроузла на реке Аксаут, Зеленчукской ГЭС-ГАЭС</w:t>
            </w: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09.10.2026</w:t>
            </w:r>
          </w:p>
        </w:tc>
        <w:tc>
          <w:tcPr>
            <w:tcW w:w="3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20.03.2027</w:t>
            </w:r>
          </w:p>
        </w:tc>
      </w:tr>
      <w:tr>
        <w:trPr/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/>
            </w:pPr>
            <w:r>
              <w:rPr/>
            </w:r>
          </w:p>
        </w:tc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бермы канала Аксаут - Кардоник ПК119-ПК120, Зеленчукской ГЭС-ГАЭС</w:t>
            </w: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09.10.2026</w:t>
            </w:r>
          </w:p>
        </w:tc>
        <w:tc>
          <w:tcPr>
            <w:tcW w:w="3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20.03.2027</w:t>
            </w:r>
          </w:p>
        </w:tc>
      </w:tr>
      <w:tr>
        <w:trPr/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/>
            </w:pPr>
            <w:r>
              <w:rPr/>
            </w:r>
          </w:p>
        </w:tc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гребня и низового откоса земляной плотины гидроузла на реке Аксаут Зеленчукской ГЭС-ГАЭС</w:t>
            </w: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09.10.2026</w:t>
            </w:r>
          </w:p>
        </w:tc>
        <w:tc>
          <w:tcPr>
            <w:tcW w:w="3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20.03.2027</w:t>
            </w:r>
          </w:p>
        </w:tc>
      </w:tr>
      <w:tr>
        <w:trPr/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/>
            </w:pPr>
            <w:r>
              <w:rPr/>
            </w:r>
          </w:p>
        </w:tc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защитного слоя бетона плит крепления откосов отстойника с рыбоходом и Аварийно-перегораживающем сооружением Зеленчукской ГЭС-ГАЭС</w:t>
            </w: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09.10.2026</w:t>
            </w:r>
          </w:p>
        </w:tc>
        <w:tc>
          <w:tcPr>
            <w:tcW w:w="3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20.03.2027</w:t>
            </w:r>
          </w:p>
        </w:tc>
      </w:tr>
      <w:tr>
        <w:trPr/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/>
            </w:pPr>
            <w:r>
              <w:rPr/>
            </w:r>
          </w:p>
        </w:tc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Текущий ремонт   закрытого лотка гидроузла на реке Маруха Зеленчукской ГЭС-ГАЭС</w:t>
            </w: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09.10.2026</w:t>
            </w:r>
          </w:p>
        </w:tc>
        <w:tc>
          <w:tcPr>
            <w:tcW w:w="3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20.03.2027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32" w:name="_Toc54646410"/>
      <w:bookmarkStart w:id="33" w:name="_Toc51339698"/>
      <w:r>
        <w:rPr/>
        <w:t xml:space="preserve">Требования к </w:t>
      </w:r>
      <w:r>
        <w:rPr>
          <w:lang w:val="ru-RU"/>
        </w:rPr>
        <w:t>качеству работ</w:t>
      </w:r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3"/>
      <w:r>
        <w:rPr>
          <w:sz w:val="24"/>
          <w:szCs w:val="24"/>
          <w:lang w:val="ru-RU"/>
        </w:rPr>
        <w:t>качеству работ</w:t>
      </w:r>
      <w:bookmarkEnd w:id="32"/>
    </w:p>
    <w:p>
      <w:pPr>
        <w:pStyle w:val="Normal"/>
        <w:rPr>
          <w:rStyle w:val="Style8"/>
          <w:b w:val="false"/>
        </w:rPr>
      </w:pPr>
      <w:r>
        <w:rPr>
          <w:rStyle w:val="Style8"/>
          <w:b w:val="false"/>
        </w:rPr>
        <w:t xml:space="preserve"> </w:t>
      </w:r>
    </w:p>
    <w:p>
      <w:pPr>
        <w:pStyle w:val="Normal"/>
        <w:snapToGrid w:val="false"/>
        <w:spacing w:before="0" w:after="120"/>
        <w:contextualSpacing w:val="false"/>
        <w:rPr>
          <w:rStyle w:val="Style8"/>
          <w:b w:val="false"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работ/этапа работ (позиция № 1 Таблицы 2): </w:t>
      </w:r>
      <w:r>
        <w:rPr>
          <w:rStyle w:val="Style8"/>
          <w:bCs/>
          <w:i w:val="false"/>
          <w:color w:val="000000"/>
          <w:sz w:val="24"/>
          <w:szCs w:val="24"/>
          <w:shd w:fill="auto" w:val="clear"/>
        </w:rPr>
        <w:t xml:space="preserve"> </w:t>
      </w:r>
      <w:r>
        <w:rPr>
          <w:rStyle w:val="Style8"/>
          <w:rFonts w:eastAsia="Calibri"/>
          <w:b/>
          <w:bCs/>
          <w:i w:val="false"/>
          <w:color w:val="000000"/>
          <w:sz w:val="32"/>
          <w:szCs w:val="32"/>
          <w:shd w:fill="auto" w:val="clear"/>
          <w:lang w:eastAsia="x-none"/>
        </w:rPr>
        <w:t>ОКПД2 42.91.20.190 Текущий ремонт сооружений Зеленчукской ГЭС-ГАЭС</w:t>
      </w:r>
    </w:p>
    <w:tbl>
      <w:tblPr>
        <w:tblStyle w:val="affffff1"/>
        <w:tblW w:w="1475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55"/>
        <w:gridCol w:w="2102"/>
        <w:gridCol w:w="5136"/>
        <w:gridCol w:w="1675"/>
        <w:gridCol w:w="2223"/>
        <w:gridCol w:w="2524"/>
        <w:gridCol w:w="234"/>
      </w:tblGrid>
      <w:tr>
        <w:trPr/>
        <w:tc>
          <w:tcPr>
            <w:tcW w:w="85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10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513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389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52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0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13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2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52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 w:val="false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1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13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6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2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5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1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Style w:val="Style8"/>
                <w:rFonts w:eastAsia="Times New Roman" w:cs="Times New Roman"/>
                <w:b w:val="false"/>
                <w:bCs/>
                <w:i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Условия производства работ</w:t>
            </w:r>
          </w:p>
        </w:tc>
        <w:tc>
          <w:tcPr>
            <w:tcW w:w="5136" w:type="dxa"/>
            <w:tcBorders/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1.Работы выполняются на действующем предприятии;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2.Работы выполняются в стесненных условиях:</w:t>
            </w:r>
          </w:p>
          <w:p>
            <w:pPr>
              <w:pStyle w:val="BodyText"/>
              <w:widowControl w:val="false"/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2.1</w:t>
            </w:r>
            <w:r>
              <w:rPr>
                <w:rFonts w:eastAsia="Times New Roman" w:cs="Times New Roman" w:ascii="wf segoe-ui normal;Segoe" w:hAnsi="wf segoe-ui normal;Segoe"/>
                <w:color w:val="21212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                   Ro" w:hAnsi="Times New                    Ro"/>
                <w:color w:val="1F3864"/>
                <w:kern w:val="0"/>
                <w:sz w:val="22"/>
                <w:szCs w:val="24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ри применении сметных норм, включенных в сборники ГЭСН, аналогичных технологическим процессам в новом строительстве, в том числе по возведению новых конструктивных элементов</w:t>
            </w:r>
          </w:p>
          <w:p>
            <w:pPr>
              <w:pStyle w:val="BodyText"/>
              <w:widowControl w:val="false"/>
              <w:tabs>
                <w:tab w:val="clear" w:pos="720"/>
                <w:tab w:val="left" w:pos="-400" w:leader="none"/>
                <w:tab w:val="left" w:pos="-63" w:leader="none"/>
              </w:tabs>
              <w:suppressAutoHyphens w:val="true"/>
              <w:spacing w:before="0" w:after="0"/>
              <w:jc w:val="both"/>
              <w:rPr>
                <w:shd w:fill="FFFFFF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2.2 Производство работ осуществляется на территории эксплуатируемого объекта капитального строительства, эксплуатация которого не прекращена, в том числе для объектов производственного и непроизводственного назначения без остановки рабочего процесса, при этом: в зоне производства ремонтно-строительных работ имеются действующее технологическое или лабораторное оборудование.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7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  <w:shd w:color="auto" w:fill="auto" w:val="clear"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52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 w:val="false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1.1.2.</w:t>
            </w:r>
          </w:p>
        </w:tc>
        <w:tc>
          <w:tcPr>
            <w:tcW w:w="210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Соблюдение при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выполнении работ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норм и правил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нормативно-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технических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документов</w:t>
            </w:r>
          </w:p>
        </w:tc>
        <w:tc>
          <w:tcPr>
            <w:tcW w:w="513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Правилами организации технического обслуживания и ремонта объектов электроэнергетики. Минэнерго от 25.10.2017 г. №1013 Раздел II, IV;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ГОСТ Р 72193-2025 «Гидроэлектростанции и гидроаккумулирующие электростанции.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Гидротехнические сооружения.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Гидросиловое и механическое оборудование. Правила организации безопасного обслуживания»; (Приложение № 6 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 xml:space="preserve">к </w:t>
            </w: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настоящим Техническим требованиям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)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35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Правила по охране труда при строительстве, реконструкции и ремонте № 883н от 11.12.2020;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Правила по охране труда при выполнении электросварочных и газосварочных работ  от 11.12.2020 №884н;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Правила по охране труда при погрузочно-разгрузочных работах и размещении грузов № 753 от 20.10.2020;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Правила по охране труда при работе с инструментом и приспособлениями от 27 ноября 2020 года № 835н;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«Правила противопожарного режима в Российской Федерации» от 16.09.2020 № 1479;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Правила по охране труда при работе на высоте от 16 ноября 2020 года № 782н;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- 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(Приложение № 7 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 xml:space="preserve">к </w:t>
            </w: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настоящим Техническим требованиям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);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СП 63.13330.2012 «Бетонные и железобетонные конструкции. Основные положения. Актуализированная редакция СНиП 52-01-2003»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СНиП 12-04-2002 «Безопасность труда в строительстве. Часть 2. Строительное производство»,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СП 48.13330.2011 «Организация строительства. Актуализированная ред. СНиП 12-01-2004»;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СНиП 3.01.03-84 «Геодезические работы в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строительстве»;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СН 53-101-98 «Изготовление и контроль качества стальных конструкций».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Регламент «Допуск персонала подрядных организаций на объекты ПАО «РусГидро». Приказ ПАО «РусГидро» №300 от 28.04.2023), Приложение № 2;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Изоляционные и отделочные покрытия. (утв. приказом Министерства строительства и жилищно- коммунального хозяйства РФ, в действующей редакции с 18.01.2022, применяется для целей технического регламента, актуализированная редакция СНиП 3.04.01.87</w:t>
            </w:r>
          </w:p>
        </w:tc>
        <w:tc>
          <w:tcPr>
            <w:tcW w:w="167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Предремонтный осмотр объекта, уточнение с Заказчиком ведомостей объемов работ;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разработка проекта производства работ;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проведение организационно-технических мероприятий;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закупка расходных материалов и доставка оборудования на объект;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выполнение работ в соответствии с ведомостью объемов работ и графиком приемки выполненных работ;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сдача объекта в эксплуатацию с представлением исполнительной документации;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(создание Актов выполненных работ по форме КС-2).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52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1525" w:hRule="atLeast"/>
        </w:trPr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10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приобретению подрядчиком используемых при выполнении работ оборудовании и материалов</w:t>
            </w:r>
          </w:p>
        </w:tc>
        <w:tc>
          <w:tcPr>
            <w:tcW w:w="5136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Используемые при выполнении работ оборудование и материалы приобретаются подрядчиком самостоятельно.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52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5725" w:hRule="atLeast"/>
        </w:trPr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10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Поставка материалов и запасных частей</w:t>
            </w:r>
          </w:p>
        </w:tc>
        <w:tc>
          <w:tcPr>
            <w:tcW w:w="513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Материалы, необходимые для выполнения работ по ремонту — согласно: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-Ведомости планируемых работ являющихся Приложением №1 к настоящим Техническим требованиям.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 При выполнении работ на поставляемые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материалы должны быть предоставлены заводские паспорта, сертификаты качества, техническая документация в полном объеме на бумажном носителе (2 экземпляра) и электронном носителе (1экземпляр).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 Поставка материалов должна быть выполнена за 10 календарных дней до начала работ.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2.1. Все поставляемые и применяемые материалы должны быть новыми и не использованными ранее;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 Изменения в номенклатуре, марках, поставляемых материалов и запчастей допускается при условии письменного согласования с Заказчиком.</w:t>
            </w:r>
          </w:p>
        </w:tc>
        <w:tc>
          <w:tcPr>
            <w:tcW w:w="16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801" w:hRule="atLeast"/>
        </w:trPr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748" w:hRule="atLeast"/>
        </w:trPr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10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расходным материалам</w:t>
            </w:r>
          </w:p>
        </w:tc>
        <w:tc>
          <w:tcPr>
            <w:tcW w:w="513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6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 выполнении ремонтных работ должны использоваться материалы, свойства которых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устанавливаются соответственными техническими  условиями и ГОСТ.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Должны быть представлены сертификаты на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используемые материалы. удостоверяющие их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качество и удовлетворять требованиям НТД.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52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подрядчика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102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персоналу</w:t>
            </w:r>
          </w:p>
        </w:tc>
        <w:tc>
          <w:tcPr>
            <w:tcW w:w="5136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 До начала оказания услуг в рамках исполнения договора после его заключения исполнитель предоставляет список персонала (с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работ,) который должен соответствовать наличию следующего квалифицированного персонала 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инженер-строитель (группа допуска по электробезопасности не ниже 3) – не менее 1чел.;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монтажник металлоконструкций 5 раз.- не менее 2 чел., (группа допуска по электробезопасности не ниже 2);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плотник-бетонщик — 4 раз. (группа допуска по электробезопасности не ниже 2) –не менее 2 чел.;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рабочие (группа допуска по электробезопасности не ниже 2) - не менее 2 человек;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-машинист эксковатора-6 раз., (группа допуска по электробезопасности не ниже 2) - не менее 1 человека;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val="ru-RU" w:eastAsia="ru-RU" w:bidi="ar-SA"/>
              </w:rPr>
              <w:t>машиниста бульдозера - 6 раз., (группа допуска по электробезопасности не ниже 2) - не менее 1 человека;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 Наличие персонала, имеющего право быть ответственными лицами за безопасное ведение работ (выдающий наряд, отдающий распоряжение, ответственный руководитель работ, производитель работ, члены бригады) при работах по наряду- допуску и распоряжению (предоставить список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персонала);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102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5136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Подрядчик обязан 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Предоставление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подтверждающего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документа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(письма) на этапе заключения договора</w:t>
            </w:r>
          </w:p>
        </w:tc>
        <w:tc>
          <w:tcPr>
            <w:tcW w:w="2524" w:type="dxa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Объект производства текущего ремонта должен соответствовать объемам работ, указанным в  -Ведомости планируемых работ являющихся Приложением №1 к настоящим Техническим требованиям,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без закупки Заказчиком дополнительных объёмов каких-либо материалов, оборудования, работ, за исключением случаев выполнения непредвиденных работ, выявленных в процессе </w:t>
            </w:r>
            <w:r>
              <w:rPr>
                <w:rStyle w:val="Style8"/>
                <w:rFonts w:eastAsia="Times New Roman" w:cs="Times New Roman"/>
                <w:b w:val="false"/>
                <w:i w:val="false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поставки оборудования, демонтажных, монтажных и пусконаладочных работ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. Работы считаются выполненными после приёмки объекта комиссией филиала с оформлением отчётной документации со стороны Подрядчика. Подрядчику предусмотреть включение в смету до 3 % непредвиденных затрат. На основании вышеуказанного Заказчик исключает при исполнении Договора заключение дополнительных соглашений на увеличение объемов работ.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52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Текущий ремонт защитного слоя бетона и устранение мест выщелачивания здания Водозабора с промывными галереями гидроузла на реке Аксаут, Зеленчукской ГЭС-ГАЭС</w:t>
            </w: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предоставлять одним этапом  с оформлением отчетной документации.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52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Текущий ремонт защитного слоя бетона и устранение мест выщелачивания здания водосброса с шугосбросом гидроузла на реке Аксаут, Зеленчукской ГЭС-ГАЭС предоставлять одним этапом  с оформлением отчетной документации.</w:t>
            </w:r>
          </w:p>
        </w:tc>
        <w:tc>
          <w:tcPr>
            <w:tcW w:w="167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524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Текущий ремонт бермы канала Аксаут - Кардоник ПК119-ПК120, Зеленчукской ГЭС-ГАЭС предоставлять одним этапом  с оформлением отчетной документации.</w:t>
            </w:r>
          </w:p>
        </w:tc>
        <w:tc>
          <w:tcPr>
            <w:tcW w:w="167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524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Текущий ремонт гребня и низового откоса земляной плотины гидроузла на реке Аксаут Зеленчукской ГЭС-ГАЭС предоставлять одним этапом  с оформлением отчетной документации.</w:t>
            </w:r>
          </w:p>
        </w:tc>
        <w:tc>
          <w:tcPr>
            <w:tcW w:w="167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524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Текущий ремонт защитного слоя бетона плит крепления откосов отстойника с рыбоходом и Аварийно-перегораживающем сооружением Зеленчукской ГЭС-ГАЭС предоставлять одним этапом  с оформлением отчетной документации.</w:t>
            </w:r>
          </w:p>
        </w:tc>
        <w:tc>
          <w:tcPr>
            <w:tcW w:w="167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524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Текущий ремонт   закрытого лотка гидроузла на реке Маруха Зеленчукской ГЭС-ГАЭС предоставлять одним этапом  с оформлением отчетной документации.</w:t>
            </w:r>
          </w:p>
        </w:tc>
        <w:tc>
          <w:tcPr>
            <w:tcW w:w="167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524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Представить Заказчику с актами выполненных работ и ведомостями выполненных работ исполнительную документацию (журналы ведения работ включая специальные журналы, акты на скрытые работы, исполнительные чертежи, сертификаты качества и паспорта на применённые материалы и оборудование, акты входного контроля качества поставляемых материалов, формуляры);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Журнал производства работ по ведению учета выполнения работ при текущем ремонте зданий и сооружений утв. Распоряжением ПАО «РусГидро»-«КЧФ» от 26.09.2022 г.No КЧФ/88-139р. Отчётные документы по ремонтам представить на бумажном носителе в 2-х экземплярах и в 1-ном электронном экземпляре.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524" w:type="dxa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Соблюдение Федеральных и отраслевых нормативно-технических документов, СТО ПАО «РусГидро», СТО «ФСК ЕЭС», СТО «СО ЕЭС»;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60" w:after="0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ФЗ №117 «О безопасности гидротехнических сооружений» (редакция, действующая с 1 января 2022 года).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524" w:type="dxa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contextualSpacing w:val="false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Гарантийный срок на результат работ должен составлять 36 месяцев с даты подписания Акта о приемке выполненных работ КС-2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b/>
                <w:bCs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40" w:after="0"/>
              <w:contextualSpacing w:val="false"/>
              <w:jc w:val="left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524" w:type="dxa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contextualSpacing w:val="false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10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субподрядным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организациям,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привлекаемым к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выполнению работ</w:t>
            </w:r>
          </w:p>
        </w:tc>
        <w:tc>
          <w:tcPr>
            <w:tcW w:w="513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случае привлечения к выполнению работ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субподрядных организаций подрядчик обязан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представить заказчику на этапе заключения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договора документы, подтверждающие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524" w:type="dxa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723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2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75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102" w:type="dxa"/>
            <w:tcBorders/>
            <w:vAlign w:val="center"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При проведении работ подрядная должна</w:t>
            </w:r>
          </w:p>
        </w:tc>
        <w:tc>
          <w:tcPr>
            <w:tcW w:w="5136" w:type="dxa"/>
            <w:tcBorders/>
            <w:vAlign w:val="center"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-Соблюдать правила внутреннего трудового распорядка предприятия Заказчика, ПТЭ, Правила охраны труда, правила промышленной безопасности, правила противопожарной безопасности;</w:t>
            </w:r>
          </w:p>
          <w:p>
            <w:pPr>
              <w:pStyle w:val="Style41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соблюдать отраслевые нормы и правила,</w:t>
            </w:r>
          </w:p>
          <w:p>
            <w:pPr>
              <w:pStyle w:val="Style41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законодательство Российской Федерации в области</w:t>
            </w:r>
          </w:p>
          <w:p>
            <w:pPr>
              <w:pStyle w:val="Style41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промышленной и экологической безопасности;</w:t>
            </w:r>
          </w:p>
          <w:p>
            <w:pPr>
              <w:pStyle w:val="Style41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соблюдать экологическую политику компании</w:t>
            </w:r>
          </w:p>
          <w:p>
            <w:pPr>
              <w:pStyle w:val="Style41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ПАО «РусГидро»;</w:t>
            </w:r>
          </w:p>
          <w:p>
            <w:pPr>
              <w:pStyle w:val="Style41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соблюдать установленные для филиала ПАО«РусГидро»-« Карачаево-Черкесский Филиал» нормативы выбросов, сбросов, объемов образования отходов и лимитов на их размещение, содержания загрязняющих веществ в выбросах в атмосферный воздух и сточных водах;</w:t>
            </w:r>
          </w:p>
          <w:p>
            <w:pPr>
              <w:pStyle w:val="Style41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 xml:space="preserve"> − </w:t>
            </w: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обеспечивать временное складирование отходов, подлежащих утилизации или сдаче во вторсырьё;</w:t>
            </w:r>
          </w:p>
          <w:p>
            <w:pPr>
              <w:pStyle w:val="Style41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 xml:space="preserve">− </w:t>
            </w: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вести учет отходов, образовавшихся в ходе производства работ;</w:t>
            </w:r>
          </w:p>
          <w:p>
            <w:pPr>
              <w:pStyle w:val="Style41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осуществлять с открытых площадок погрузку- разгрузку, транспортировку отходов в места их утилизации и захоронения;</w:t>
            </w:r>
          </w:p>
          <w:p>
            <w:pPr>
              <w:pStyle w:val="Style41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предоставить справку или иной документ об утилизации отходов.</w:t>
            </w:r>
          </w:p>
        </w:tc>
        <w:tc>
          <w:tcPr>
            <w:tcW w:w="16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</w:t>
            </w:r>
          </w:p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b w:val="false"/>
                <w:lang w:val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524" w:type="dxa"/>
            <w:tcBorders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55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02" w:type="dxa"/>
            <w:tcBorders>
              <w:top w:val="nil"/>
            </w:tcBorders>
            <w:vAlign w:val="center"/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Пропуск на территорию предприятия</w:t>
            </w:r>
          </w:p>
        </w:tc>
        <w:tc>
          <w:tcPr>
            <w:tcW w:w="513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before="0" w:after="0"/>
              <w:ind w:left="113" w:firstLine="34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Согласно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Инструкции о пропускном и внутриобъектовом режимах Филиала ПАО «РусГидро» - «Карачаево-Черкесский филиал» от 31.08.2023 д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опуск на объекты Филиала специалистов сторонних организаций осуществляется по письму (на фирменном бланке) на имя директора или главного инженера.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firstLine="17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К письму прилагаются следующие документы: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firstLine="34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сведения о лицах, указанных в письме о допуске, подтверждающие принадлежность данных лиц к Подрядчику (копии трудового договора или копии трудовых книжек, либо копии приказов о приёме на работу);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firstLine="283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копию страниц паспорта (с пропиской);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firstLine="283"/>
              <w:contextualSpacing w:val="false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Справку об отсутствии судимости;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firstLine="283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заполненную анкету (приложение 4 к данному ТТ);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57" w:firstLine="34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согласие на обработку персональных данных.</w:t>
            </w:r>
          </w:p>
        </w:tc>
        <w:tc>
          <w:tcPr>
            <w:tcW w:w="167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Согласие с</w:t>
            </w:r>
          </w:p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kern w:val="0"/>
                <w:sz w:val="22"/>
                <w:szCs w:val="22"/>
                <w:lang w:val="ru-RU" w:eastAsia="ru-RU" w:bidi="ar-SA"/>
              </w:rPr>
              <w:t>требованием</w:t>
            </w:r>
          </w:p>
        </w:tc>
        <w:tc>
          <w:tcPr>
            <w:tcW w:w="2223" w:type="dxa"/>
            <w:tcBorders>
              <w:top w:val="nil"/>
            </w:tcBorders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524" w:type="dxa"/>
            <w:tcBorders>
              <w:top w:val="nil"/>
            </w:tcBorders>
          </w:tcPr>
          <w:p>
            <w:pPr>
              <w:pStyle w:val="Style41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4" w:type="dxa"/>
            <w:tcBorders>
              <w:top w:val="nil"/>
              <w:left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 w:val="false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ListParagraph"/>
        <w:tabs>
          <w:tab w:val="clear" w:pos="720"/>
          <w:tab w:val="left" w:pos="1134" w:leader="none"/>
        </w:tabs>
        <w:suppressAutoHyphens w:val="false"/>
        <w:spacing w:before="60" w:after="60"/>
        <w:ind w:left="0" w:firstLine="566"/>
        <w:contextualSpacing/>
        <w:jc w:val="both"/>
        <w:rPr>
          <w:b/>
          <w:bCs/>
          <w:iCs/>
          <w:sz w:val="28"/>
          <w:szCs w:val="28"/>
          <w:lang w:eastAsia="x-none"/>
        </w:rPr>
      </w:pPr>
      <w:r>
        <w:rPr>
          <w:b/>
          <w:bCs/>
          <w:iCs/>
          <w:sz w:val="28"/>
          <w:szCs w:val="28"/>
          <w:lang w:eastAsia="x-none"/>
        </w:rPr>
        <w:t xml:space="preserve">3. </w:t>
      </w:r>
      <w:bookmarkStart w:id="34" w:name="_Toc51339699_Копия_1"/>
      <w:bookmarkStart w:id="35" w:name="_Toc54646413_Копия_1"/>
      <w:bookmarkStart w:id="36" w:name="_Toc46743519_Копия_1"/>
      <w:r>
        <w:rPr>
          <w:b/>
          <w:bCs/>
          <w:iCs/>
          <w:sz w:val="28"/>
          <w:szCs w:val="28"/>
          <w:lang w:eastAsia="x-none"/>
        </w:rPr>
        <w:t>Приложения</w:t>
      </w:r>
      <w:bookmarkEnd w:id="34"/>
      <w:bookmarkEnd w:id="35"/>
      <w:bookmarkEnd w:id="36"/>
      <w:r>
        <w:rPr>
          <w:b/>
          <w:bCs/>
          <w:iCs/>
          <w:sz w:val="28"/>
          <w:szCs w:val="28"/>
          <w:lang w:eastAsia="x-none"/>
        </w:rPr>
        <w:t>:</w:t>
      </w:r>
    </w:p>
    <w:p>
      <w:pPr>
        <w:pStyle w:val="Normal"/>
        <w:widowControl w:val="false"/>
        <w:spacing w:before="0" w:after="0"/>
        <w:contextualSpacing w:val="false"/>
        <w:jc w:val="both"/>
        <w:rPr/>
      </w:pPr>
      <w:r>
        <w:rPr>
          <w:rStyle w:val="Style8"/>
          <w:b w:val="false"/>
          <w:i w:val="false"/>
          <w:sz w:val="24"/>
          <w:szCs w:val="24"/>
          <w:shd w:fill="auto" w:val="clear"/>
        </w:rPr>
        <w:t>1. Приложение №1</w:t>
      </w:r>
    </w:p>
    <w:p>
      <w:pPr>
        <w:pStyle w:val="Normal"/>
        <w:widowControl w:val="false"/>
        <w:spacing w:before="0" w:after="0"/>
        <w:contextualSpacing w:val="false"/>
        <w:jc w:val="both"/>
        <w:rPr/>
      </w:pPr>
      <w:r>
        <w:rPr>
          <w:sz w:val="24"/>
          <w:szCs w:val="24"/>
        </w:rPr>
        <w:t xml:space="preserve">-Ведомость планируемых работ по текущему ремонту </w:t>
      </w:r>
      <w:r>
        <w:rPr>
          <w:color w:val="000000"/>
          <w:sz w:val="24"/>
          <w:szCs w:val="24"/>
        </w:rPr>
        <w:t>защитного слоя бетона и устранение мест выщелачивания здания Водозабора с промывными галереями гидроузла на реке Аксаут, Зеленчукской ГЭС-ГАЭС (РЗ № 221928).</w:t>
      </w:r>
    </w:p>
    <w:p>
      <w:pPr>
        <w:pStyle w:val="Normal"/>
        <w:widowControl w:val="false"/>
        <w:spacing w:before="0" w:after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-Ведомость планируемых работ по текущему ремонту </w:t>
      </w:r>
      <w:r>
        <w:rPr>
          <w:color w:val="000000"/>
          <w:sz w:val="24"/>
          <w:szCs w:val="24"/>
        </w:rPr>
        <w:t>защитного слоя бетона и устранение мест выщелачивания здания водосброса с шугосбросом гидроузла на реке Аксаут, Зеленчукской ГЭС-ГАЭС (РЗ № 221927).</w:t>
      </w:r>
    </w:p>
    <w:p>
      <w:pPr>
        <w:pStyle w:val="Normal"/>
        <w:widowControl w:val="false"/>
        <w:spacing w:before="0" w:after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-Ведомость планируемых работ по текущему ремонту </w:t>
      </w:r>
      <w:r>
        <w:rPr>
          <w:color w:val="000000"/>
          <w:sz w:val="24"/>
          <w:szCs w:val="24"/>
        </w:rPr>
        <w:t>бермы канала Аксаут - Кардоник ПК119-ПК120, Зеленчукской ГЭС-ГАЭС (РЗ № 221931).</w:t>
      </w:r>
    </w:p>
    <w:p>
      <w:pPr>
        <w:pStyle w:val="Normal"/>
        <w:widowControl w:val="false"/>
        <w:spacing w:before="0" w:after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Ведомость планируемых работ по текущему ремонту </w:t>
      </w:r>
      <w:r>
        <w:rPr>
          <w:color w:val="000000"/>
          <w:sz w:val="24"/>
          <w:szCs w:val="24"/>
        </w:rPr>
        <w:t>гребня и низового откоса земляной плотины гидроузла на реке Аксаут Зеленчукской ГЭС-ГАЭС (РЗ № 221932).</w:t>
      </w:r>
    </w:p>
    <w:p>
      <w:pPr>
        <w:pStyle w:val="Normal"/>
        <w:widowControl w:val="false"/>
        <w:spacing w:before="0" w:after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Ведомость планируемых работ по текущему ремонту </w:t>
      </w:r>
      <w:r>
        <w:rPr>
          <w:color w:val="000000"/>
          <w:sz w:val="24"/>
          <w:szCs w:val="24"/>
        </w:rPr>
        <w:t>защитного слоя бетона плит крепления откосов отстойника с рыбоходом и Аварийно-перегораживающем сооружением (РЗ № 221926).</w:t>
      </w:r>
    </w:p>
    <w:p>
      <w:pPr>
        <w:pStyle w:val="Normal"/>
        <w:widowControl w:val="false"/>
        <w:spacing w:before="0" w:after="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-Ведомость планируемых работ по текущему ремонту </w:t>
      </w:r>
      <w:r>
        <w:rPr>
          <w:color w:val="000000"/>
          <w:sz w:val="24"/>
          <w:szCs w:val="24"/>
        </w:rPr>
        <w:t>закрытого лотка гидроузла на реке Маруха Зеленчукской ГЭС-ГАЭС (РЗ № 221929).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60" w:after="0"/>
        <w:contextualSpacing w:val="false"/>
        <w:jc w:val="both"/>
        <w:rPr/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>2. Приложение №2 -</w:t>
      </w:r>
      <w:r>
        <w:rPr>
          <w:rStyle w:val="Style8"/>
          <w:b w:val="false"/>
          <w:bCs/>
          <w:i w:val="false"/>
          <w:iCs/>
          <w:sz w:val="24"/>
          <w:szCs w:val="24"/>
          <w:shd w:fill="auto" w:val="clear"/>
        </w:rPr>
        <w:t>Методика допуска персонала подрядных организаций на объекты ПАО «РусГидро»;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60" w:after="0"/>
        <w:contextualSpacing w:val="false"/>
        <w:jc w:val="both"/>
        <w:rPr/>
      </w:pPr>
      <w:r>
        <w:rPr>
          <w:rStyle w:val="Style8"/>
          <w:b w:val="false"/>
          <w:bCs/>
          <w:i w:val="false"/>
          <w:iCs/>
          <w:sz w:val="24"/>
          <w:szCs w:val="24"/>
          <w:shd w:fill="auto" w:val="clear"/>
        </w:rPr>
        <w:t xml:space="preserve">3. Приложение №3 - </w:t>
      </w:r>
      <w:bookmarkStart w:id="37" w:name="_Toc54451385_Копия_1_Копия_1_Копия_1"/>
      <w:bookmarkStart w:id="38" w:name="_Toc54646414_Копия_1_Копия_1_Копия_1"/>
      <w:r>
        <w:rPr>
          <w:rStyle w:val="Style8"/>
          <w:b w:val="false"/>
          <w:bCs/>
          <w:i w:val="false"/>
          <w:iCs/>
          <w:sz w:val="24"/>
          <w:szCs w:val="24"/>
          <w:shd w:fill="auto" w:val="clear"/>
        </w:rPr>
        <w:t>Требования к оформлению и составлению документации по ценообразованию</w:t>
      </w:r>
      <w:bookmarkEnd w:id="37"/>
      <w:bookmarkEnd w:id="38"/>
      <w:r>
        <w:rPr>
          <w:rStyle w:val="Style8"/>
          <w:b w:val="false"/>
          <w:bCs/>
          <w:i w:val="false"/>
          <w:iCs/>
          <w:sz w:val="24"/>
          <w:szCs w:val="24"/>
          <w:shd w:fill="auto" w:val="clear"/>
        </w:rPr>
        <w:t>;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60" w:after="0"/>
        <w:contextualSpacing w:val="false"/>
        <w:jc w:val="both"/>
        <w:rPr/>
      </w:pPr>
      <w:r>
        <w:rPr>
          <w:rStyle w:val="Style8"/>
          <w:b w:val="false"/>
          <w:bCs/>
          <w:i w:val="false"/>
          <w:iCs/>
          <w:sz w:val="24"/>
          <w:szCs w:val="24"/>
          <w:shd w:fill="auto" w:val="clear"/>
        </w:rPr>
        <w:t>4.     Приложение №4 -  Анкета (для организации доступа на территорию объекта ТЭК);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60" w:after="0"/>
        <w:contextualSpacing w:val="false"/>
        <w:jc w:val="both"/>
        <w:rPr>
          <w:lang w:val="en-US"/>
        </w:rPr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 xml:space="preserve">5.    Приложение № 5 – </w:t>
      </w:r>
      <w:r>
        <w:rPr>
          <w:rStyle w:val="Style8"/>
          <w:b w:val="false"/>
          <w:bCs/>
          <w:i w:val="false"/>
          <w:sz w:val="24"/>
          <w:szCs w:val="24"/>
          <w:shd w:fill="auto" w:val="clear"/>
          <w:lang w:val="en-US"/>
        </w:rPr>
        <w:t>Сметная документация;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60" w:after="0"/>
        <w:contextualSpacing w:val="false"/>
        <w:jc w:val="both"/>
        <w:rPr>
          <w:lang w:val="en-US"/>
        </w:rPr>
      </w:pPr>
      <w:r>
        <w:rPr>
          <w:rStyle w:val="Style8"/>
          <w:b w:val="false"/>
          <w:bCs/>
          <w:i w:val="false"/>
          <w:sz w:val="24"/>
          <w:szCs w:val="24"/>
          <w:shd w:fill="auto" w:val="clear"/>
          <w:lang w:val="en-US"/>
        </w:rPr>
        <w:t xml:space="preserve">6.  Приложение №  6 - </w:t>
      </w:r>
      <w:r>
        <w:rPr>
          <w:rStyle w:val="Style8"/>
          <w:rFonts w:eastAsia="Times New Roman" w:cs="Times New Roman"/>
          <w:b w:val="false"/>
          <w:bCs/>
          <w:i w:val="false"/>
          <w:kern w:val="0"/>
          <w:sz w:val="24"/>
          <w:szCs w:val="24"/>
          <w:shd w:fill="auto" w:val="clear"/>
          <w:lang w:val="ru-RU" w:eastAsia="ru-RU" w:bidi="ar-SA"/>
        </w:rPr>
        <w:t xml:space="preserve">ГОСТ Р 72193-2025 «Гидроэлектростанции и гидроаккумулирующие электростанции. </w:t>
      </w:r>
      <w:r>
        <w:rPr>
          <w:rFonts w:eastAsia="Times New Roman" w:cs="Times New Roman"/>
          <w:kern w:val="0"/>
          <w:sz w:val="24"/>
          <w:szCs w:val="24"/>
          <w:lang w:val="ru-RU" w:eastAsia="ru-RU" w:bidi="ar-SA"/>
        </w:rPr>
        <w:t xml:space="preserve">Гидротехнические сооружения. </w:t>
      </w:r>
      <w:r>
        <w:rPr>
          <w:rStyle w:val="Style8"/>
          <w:rFonts w:eastAsia="Times New Roman" w:cs="Times New Roman"/>
          <w:b w:val="false"/>
          <w:bCs/>
          <w:i w:val="false"/>
          <w:kern w:val="0"/>
          <w:sz w:val="24"/>
          <w:szCs w:val="24"/>
          <w:shd w:fill="auto" w:val="clear"/>
          <w:lang w:val="ru-RU" w:eastAsia="ru-RU" w:bidi="ar-SA"/>
        </w:rPr>
        <w:t>Гидросиловое и механическое оборудование. Правила организации безопасного обслуживания»;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60" w:after="0"/>
        <w:contextualSpacing w:val="false"/>
        <w:jc w:val="both"/>
        <w:rPr>
          <w:lang w:val="en-US"/>
        </w:rPr>
      </w:pPr>
      <w:r>
        <w:rPr>
          <w:rStyle w:val="Style8"/>
          <w:rFonts w:eastAsia="Times New Roman" w:cs="Times New Roman"/>
          <w:b w:val="false"/>
          <w:bCs/>
          <w:i w:val="false"/>
          <w:kern w:val="0"/>
          <w:sz w:val="24"/>
          <w:szCs w:val="24"/>
          <w:shd w:fill="auto" w:val="clear"/>
          <w:lang w:val="ru-RU" w:eastAsia="ru-RU" w:bidi="ar-SA"/>
        </w:rPr>
        <w:t xml:space="preserve">7.  </w:t>
      </w:r>
      <w:r>
        <w:rPr>
          <w:rStyle w:val="Style8"/>
          <w:rFonts w:eastAsia="Times New Roman" w:cs="Times New Roman"/>
          <w:b w:val="false"/>
          <w:bCs/>
          <w:i w:val="false"/>
          <w:kern w:val="0"/>
          <w:sz w:val="24"/>
          <w:szCs w:val="24"/>
          <w:shd w:fill="auto" w:val="clear"/>
          <w:lang w:val="en-US" w:eastAsia="ru-RU" w:bidi="ar-SA"/>
        </w:rPr>
        <w:t xml:space="preserve">Приложение №  7 - </w:t>
      </w:r>
      <w:r>
        <w:rPr>
          <w:rStyle w:val="Style8"/>
          <w:rFonts w:eastAsia="Times New Roman" w:cs="Times New Roman"/>
          <w:b w:val="false"/>
          <w:bCs/>
          <w:i w:val="false"/>
          <w:kern w:val="0"/>
          <w:sz w:val="24"/>
          <w:szCs w:val="24"/>
          <w:shd w:fill="auto" w:val="clear"/>
          <w:lang w:val="ru-RU" w:eastAsia="ru-RU" w:bidi="ar-SA"/>
        </w:rPr>
        <w:t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требования»;</w:t>
      </w:r>
    </w:p>
    <w:p>
      <w:pPr>
        <w:pStyle w:val="ListParagraph"/>
        <w:tabs>
          <w:tab w:val="clear" w:pos="720"/>
          <w:tab w:val="left" w:pos="1134" w:leader="none"/>
        </w:tabs>
        <w:suppressAutoHyphens w:val="false"/>
        <w:spacing w:before="60" w:after="60"/>
        <w:ind w:left="0" w:hanging="0"/>
        <w:contextualSpacing/>
        <w:jc w:val="both"/>
        <w:rPr>
          <w:rStyle w:val="Style8"/>
          <w:b w:val="false"/>
          <w:bCs/>
          <w:i w:val="false"/>
          <w:i w:val="false"/>
          <w:color w:val="000000"/>
          <w:shd w:fill="auto" w:val="clear"/>
          <w:lang w:eastAsia="x-none"/>
        </w:rPr>
      </w:pPr>
      <w:r>
        <w:rPr>
          <w:b w:val="false"/>
          <w:bCs/>
          <w:i w:val="false"/>
          <w:color w:val="000000"/>
          <w:shd w:fill="auto" w:val="clear"/>
          <w:lang w:eastAsia="x-none"/>
        </w:rPr>
      </w:r>
    </w:p>
    <w:p>
      <w:pPr>
        <w:pStyle w:val="Normal"/>
        <w:spacing w:lineRule="auto" w:line="2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разделом (главой) ….. </w:t>
      </w:r>
      <w:r>
        <w:rPr>
          <w:color w:val="000000"/>
          <w:sz w:val="24"/>
          <w:szCs w:val="24"/>
        </w:rPr>
        <w:t>Правил по (</w:t>
      </w:r>
      <w:r>
        <w:rPr>
          <w:i/>
          <w:color w:val="000000"/>
          <w:sz w:val="24"/>
          <w:szCs w:val="24"/>
        </w:rPr>
        <w:t xml:space="preserve">например: </w:t>
      </w:r>
      <w:r>
        <w:rPr>
          <w:color w:val="000000"/>
          <w:sz w:val="24"/>
          <w:szCs w:val="24"/>
        </w:rPr>
        <w:t>Правил по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охране труда при эксплуатации электроустановок (утв. приказо</w:t>
      </w:r>
      <w:bookmarkStart w:id="39" w:name="_GoBack"/>
      <w:bookmarkEnd w:id="39"/>
      <w:r>
        <w:rPr>
          <w:color w:val="000000"/>
          <w:sz w:val="24"/>
          <w:szCs w:val="24"/>
        </w:rPr>
        <w:t xml:space="preserve">м Министерства труда и социальной защиты Российской Федерации от 15 декабря 2020 г. № 903н)) </w:t>
      </w:r>
      <w:r>
        <w:rPr>
          <w:sz w:val="24"/>
          <w:szCs w:val="24"/>
        </w:rPr>
        <w:t>прошу разрешить допуск</w:t>
      </w:r>
      <w:r>
        <w:rPr>
          <w:color w:val="808080"/>
          <w:sz w:val="24"/>
          <w:szCs w:val="24"/>
        </w:rPr>
        <w:t xml:space="preserve"> </w:t>
      </w:r>
      <w:r>
        <w:rPr>
          <w:sz w:val="24"/>
          <w:szCs w:val="24"/>
        </w:rPr>
        <w:t>на правах (командированного персонала или персонала СМО) для выполнения работ (сведения о выполняемой работе с указанием места работы, наименования и № договора, для субподрядных организаций указать номер письма Филиала о согласовании организации в качестве субподрядчика, времени начала и окончания работ) на объектах Филиала ПАО «РусГидро» - «____________» в 20___году работникам наименование организации согласно списка: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13" w:type="dxa"/>
        <w:jc w:val="left"/>
        <w:tblInd w:w="-15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94"/>
        <w:gridCol w:w="1883"/>
        <w:gridCol w:w="1049"/>
        <w:gridCol w:w="738"/>
        <w:gridCol w:w="1146"/>
        <w:gridCol w:w="1295"/>
        <w:gridCol w:w="1743"/>
        <w:gridCol w:w="1763"/>
      </w:tblGrid>
      <w:tr>
        <w:trPr>
          <w:tblHeader w:val="true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п/п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Ответственные лица,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Имя Отчество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Должность,</w:t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Разряд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Группа по электробезопасности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Шифр области аттестации (для специалистов)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Отметка о проведении водного инструктажа (ОТ, ПБ, ГОиЧС)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Отметка о проведении первичного инструктажа</w:t>
            </w:r>
          </w:p>
        </w:tc>
      </w:tr>
      <w:tr>
        <w:trPr>
          <w:tblHeader w:val="true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</w:t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96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Выдающий наряд-допуск, распоряжение</w:t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96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Ответственный руководитель работ в электроустановках</w:t>
            </w:r>
            <w:r>
              <w:rPr>
                <w:rStyle w:val="FootnoteReference"/>
                <w:sz w:val="18"/>
                <w:szCs w:val="18"/>
              </w:rPr>
              <w:footnoteReference w:id="2"/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96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Производитель работ</w:t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96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 бригады</w:t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96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организации работ с ПС:</w:t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Ответственный за безопасное производство работ с ПС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Ответственный за содержание ПС в работоспособном состоянии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Стропальщики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Рабочие люлек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96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Ответственный за соблюдение требований природоохранного законодательства</w:t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</w:t>
            </w:r>
          </w:p>
        </w:tc>
        <w:tc>
          <w:tcPr>
            <w:tcW w:w="96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18"/>
                <w:szCs w:val="18"/>
              </w:rPr>
              <w:t>Ответственный за организацию и безопасное проведение работ на высоте</w:t>
            </w:r>
          </w:p>
        </w:tc>
      </w:tr>
      <w:tr>
        <w:trPr/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 т.д.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709" w:leader="none"/>
        </w:tabs>
        <w:jc w:val="both"/>
        <w:textAlignment w:val="baseline"/>
        <w:rPr>
          <w:sz w:val="24"/>
          <w:szCs w:val="24"/>
        </w:rPr>
      </w:pPr>
      <w:r>
        <w:rPr/>
        <w:t>Перечень транспортных средств для въезда на территорию филиала ПАО «РусГидро» - «____________» / объекта Общества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81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11"/>
        <w:gridCol w:w="3683"/>
        <w:gridCol w:w="2268"/>
        <w:gridCol w:w="3118"/>
      </w:tblGrid>
      <w:tr>
        <w:trPr/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п/п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ТС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Гос. номер</w:t>
            </w:r>
          </w:p>
        </w:tc>
      </w:tr>
      <w:tr>
        <w:trPr/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16"/>
                <w:szCs w:val="16"/>
                <w:lang w:eastAsia="en-US"/>
              </w:rPr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16"/>
                <w:szCs w:val="16"/>
                <w:lang w:eastAsia="en-US"/>
              </w:rPr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</w:tr>
      <w:tr>
        <w:trPr/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16"/>
                <w:szCs w:val="16"/>
                <w:lang w:eastAsia="en-US"/>
              </w:rPr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</w:tr>
      <w:tr>
        <w:trPr/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16"/>
                <w:szCs w:val="16"/>
                <w:lang w:eastAsia="en-US"/>
              </w:rPr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Указанные выше работники прошли обучение и аттестацию в области промышленной безопасности, по вопросам безопасности гидротехнических сооружений, безопасности в сфере электроэнергетики в соответствии с требованиями постановления Правительства Российской Федерации от 25 октября 2019 г. № 1365, проверку знаний Правил по охране труда при эксплуатации электроустановок и других необходимых правил, и инструкций в установленном порядке.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Указанные выше работники обеспечены специальной одеждой, специальной обувью и другими средствами защиты, соответствующие условиям предстоящих работ и установленным нормам. Они годны по состоянию здоровья и их квалификация соответствует требованиям для выполнения указанных выше работ.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Указанные выше работники состоят в трудовых отношениях с организацией, направившей их для выполнения работ в филиале ПАО «РусГидро» – «____________» / объекте Общества.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Руководитель организации                                         </w:t>
        <w:tab/>
        <w:tab/>
        <w:t xml:space="preserve">   И.О. Фамилия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1"/>
        <w:tabs>
          <w:tab w:val="clear" w:pos="0"/>
        </w:tabs>
        <w:ind w:left="0" w:right="284" w:hanging="0"/>
        <w:jc w:val="right"/>
        <w:rPr>
          <w:b w:val="false"/>
          <w:lang w:val="ru-RU"/>
        </w:rPr>
      </w:pPr>
      <w:bookmarkStart w:id="40" w:name="_Hlk48224758_Копия_1"/>
      <w:bookmarkStart w:id="41" w:name="_Ref40301253_Копия_1"/>
      <w:bookmarkEnd w:id="40"/>
      <w:bookmarkEnd w:id="41"/>
      <w:r>
        <w:rPr>
          <w:b w:val="false"/>
          <w:sz w:val="18"/>
          <w:szCs w:val="18"/>
          <w:lang w:val="ru-RU"/>
        </w:rPr>
        <w:t xml:space="preserve">Приложение №3 к </w:t>
      </w:r>
      <w:r>
        <w:rPr>
          <w:sz w:val="18"/>
          <w:szCs w:val="18"/>
        </w:rPr>
        <w:t>Техническим требованиям</w:t>
      </w:r>
      <w:r>
        <w:rPr>
          <w:b w:val="false"/>
          <w:lang w:val="ru-RU"/>
        </w:rPr>
        <w:t xml:space="preserve"> </w:t>
      </w:r>
    </w:p>
    <w:p>
      <w:pPr>
        <w:pStyle w:val="Heading1"/>
        <w:keepLines/>
        <w:tabs>
          <w:tab w:val="clear" w:pos="0"/>
        </w:tabs>
        <w:ind w:left="360" w:hanging="0"/>
        <w:rPr>
          <w:b w:val="false"/>
          <w:bCs/>
          <w:sz w:val="24"/>
          <w:szCs w:val="24"/>
          <w:lang w:val="ru-RU"/>
        </w:rPr>
      </w:pPr>
      <w:r>
        <w:rPr>
          <w:bCs/>
          <w:sz w:val="24"/>
          <w:szCs w:val="24"/>
        </w:rPr>
        <w:t>Требования к документации по ценообразованию на этапе закупки</w:t>
      </w:r>
      <w:r>
        <w:rPr>
          <w:bCs/>
          <w:sz w:val="24"/>
          <w:szCs w:val="24"/>
          <w:lang w:val="ru-RU"/>
        </w:rPr>
        <w:t>:</w:t>
      </w:r>
      <w:r>
        <w:rPr/>
        <w:t xml:space="preserve"> </w:t>
      </w:r>
    </w:p>
    <w:p>
      <w:pPr>
        <w:pStyle w:val="Heading1"/>
        <w:keepLines/>
        <w:tabs>
          <w:tab w:val="left" w:pos="0" w:leader="none"/>
          <w:tab w:val="left" w:pos="851" w:leader="none"/>
        </w:tabs>
        <w:ind w:left="0" w:firstLine="360"/>
        <w:jc w:val="both"/>
        <w:rPr>
          <w:b w:val="false"/>
          <w:bCs/>
          <w:sz w:val="24"/>
          <w:szCs w:val="24"/>
          <w:lang w:val="ru-RU"/>
        </w:rPr>
      </w:pPr>
      <w:r>
        <w:rPr>
          <w:b w:val="false"/>
          <w:bCs/>
          <w:sz w:val="24"/>
          <w:szCs w:val="24"/>
          <w:lang w:val="ru-RU"/>
        </w:rPr>
        <w:t>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коэффициента, величину данного коэффициента рекомендуется учитывать с округлением до 7 знаков после запятой).</w:t>
      </w:r>
    </w:p>
    <w:p>
      <w:pPr>
        <w:pStyle w:val="Heading1"/>
        <w:keepLines/>
        <w:tabs>
          <w:tab w:val="left" w:pos="0" w:leader="none"/>
          <w:tab w:val="left" w:pos="851" w:leader="none"/>
        </w:tabs>
        <w:ind w:left="0" w:firstLine="360"/>
        <w:jc w:val="both"/>
        <w:rPr>
          <w:b w:val="false"/>
          <w:bCs/>
          <w:sz w:val="24"/>
          <w:szCs w:val="24"/>
          <w:lang w:val="ru-RU"/>
        </w:rPr>
      </w:pPr>
      <w:r>
        <w:rPr>
          <w:b w:val="false"/>
          <w:bCs/>
          <w:sz w:val="24"/>
          <w:szCs w:val="24"/>
          <w:lang w:val="ru-RU"/>
        </w:rPr>
        <w:t>2. 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tabs>
          <w:tab w:val="clear" w:pos="720"/>
          <w:tab w:val="left" w:pos="851" w:leader="none"/>
        </w:tabs>
        <w:ind w:left="720" w:firstLine="360"/>
        <w:rPr>
          <w:lang w:eastAsia="x-none"/>
        </w:rPr>
      </w:pPr>
      <w:r>
        <w:rPr>
          <w:lang w:eastAsia="x-none"/>
        </w:rPr>
      </w:r>
    </w:p>
    <w:p>
      <w:pPr>
        <w:pStyle w:val="ListParagraph"/>
        <w:numPr>
          <w:ilvl w:val="0"/>
          <w:numId w:val="11"/>
        </w:numPr>
        <w:tabs>
          <w:tab w:val="clear" w:pos="720"/>
          <w:tab w:val="left" w:pos="851" w:leader="none"/>
        </w:tabs>
        <w:ind w:left="0" w:firstLine="360"/>
        <w:jc w:val="both"/>
        <w:rPr>
          <w:lang w:eastAsia="x-none"/>
        </w:rPr>
      </w:pPr>
      <w:r>
        <w:rPr>
          <w:b/>
          <w:bCs/>
          <w:lang w:eastAsia="x-none"/>
        </w:rPr>
        <w:t>Требования к документации по ценообразованию на этапе заключения (исполнения) договора</w:t>
      </w:r>
    </w:p>
    <w:p>
      <w:pPr>
        <w:pStyle w:val="Heading1"/>
        <w:keepLines/>
        <w:tabs>
          <w:tab w:val="clear" w:pos="0"/>
        </w:tabs>
        <w:ind w:left="357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clear" w:pos="720"/>
          <w:tab w:val="left" w:pos="284" w:leader="none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284" w:leader="none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284" w:leader="none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284" w:leader="none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284" w:leader="none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284" w:leader="none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284" w:leader="none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284" w:leader="none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284" w:leader="none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284" w:leader="none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20"/>
          <w:tab w:val="left" w:pos="284" w:leader="none"/>
          <w:tab w:val="left" w:pos="993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right"/>
        <w:rPr>
          <w:sz w:val="24"/>
          <w:szCs w:val="24"/>
        </w:rPr>
      </w:pPr>
      <w:bookmarkStart w:id="42" w:name="_GoBack_Копия_1_Копия_1"/>
      <w:bookmarkEnd w:id="42"/>
      <w:r>
        <w:rPr>
          <w:sz w:val="24"/>
          <w:szCs w:val="24"/>
        </w:rPr>
        <w:t>Приложение №4 Техническим требованиям</w:t>
      </w:r>
    </w:p>
    <w:p>
      <w:pPr>
        <w:pStyle w:val="Normal"/>
        <w:jc w:val="right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Персональные данные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АНКЕТА</w:t>
      </w:r>
    </w:p>
    <w:p>
      <w:pPr>
        <w:pStyle w:val="Normal"/>
        <w:jc w:val="center"/>
        <w:rPr>
          <w:sz w:val="20"/>
        </w:rPr>
      </w:pPr>
      <w:r>
        <w:rPr>
          <w:sz w:val="20"/>
        </w:rPr>
        <w:t>(для организации доступа на территорию объекта ТЭК)</w:t>
      </w:r>
    </w:p>
    <w:p>
      <w:pPr>
        <w:pStyle w:val="Normal"/>
        <w:ind w:left="360" w:hanging="0"/>
        <w:rPr>
          <w:sz w:val="24"/>
          <w:szCs w:val="24"/>
        </w:rPr>
      </w:pPr>
      <w:r>
        <w:rPr/>
        <mc:AlternateContent>
          <mc:Choice Requires="wps">
            <w:drawing>
              <wp:anchor behindDoc="0" distT="0" distB="5080" distL="0" distR="0" simplePos="0" locked="0" layoutInCell="0" allowOverlap="1" relativeHeight="3" wp14:anchorId="00324C2C">
                <wp:simplePos x="0" y="0"/>
                <wp:positionH relativeFrom="column">
                  <wp:posOffset>250190</wp:posOffset>
                </wp:positionH>
                <wp:positionV relativeFrom="paragraph">
                  <wp:posOffset>594360</wp:posOffset>
                </wp:positionV>
                <wp:extent cx="1047115" cy="282575"/>
                <wp:effectExtent l="0" t="0" r="0" b="5715"/>
                <wp:wrapNone/>
                <wp:docPr id="3" name="Прямоугольник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240" cy="2826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47"/>
                              <w:rPr/>
                            </w:pPr>
                            <w:r>
                              <w:rPr>
                                <w:color w:val="000000"/>
                              </w:rPr>
                              <w:t>Фотография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" path="m0,0l-2147483645,0l-2147483645,-2147483646l0,-2147483646xe" stroked="f" o:allowincell="f" style="position:absolute;margin-left:19.7pt;margin-top:46.8pt;width:82.4pt;height:22.2pt;mso-wrap-style:square;v-text-anchor:top" wp14:anchorId="00324C2C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47"/>
                        <w:rPr/>
                      </w:pPr>
                      <w:r>
                        <w:rPr>
                          <w:color w:val="000000"/>
                        </w:rPr>
                        <w:t>Фотография</w:t>
                      </w:r>
                    </w:p>
                  </w:txbxContent>
                </v:textbox>
                <w10:wrap type="none"/>
              </v:rect>
            </w:pict>
          </mc:Fallback>
        </mc:AlternateContent>
        <w:drawing>
          <wp:inline distT="0" distB="0" distL="0" distR="0">
            <wp:extent cx="1073150" cy="1169035"/>
            <wp:effectExtent l="0" t="0" r="0" b="0"/>
            <wp:docPr id="5" name="Рисунок 1 Копия 1" descr="Описание: C:\Users\ArkovEV\Desktop\05.09.2007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 Копия 1" descr="Описание: C:\Users\ArkovEV\Desktop\05.09.2007 фот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16903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284" w:leader="none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Фамилия:</w:t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284" w:leader="none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Имя:</w:t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284" w:leader="none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Отчество:</w:t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284" w:leader="none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Изменялась ли фамилия, имя или отчество, если да, то указать их, а также когда, где и по какой причине:</w:t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284" w:leader="none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Число, месяц и год рождения:</w:t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284" w:leader="none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Место рождения (город, район, область, край, республика):</w:t>
      </w:r>
    </w:p>
    <w:p>
      <w:pPr>
        <w:pStyle w:val="Normal"/>
        <w:pBdr>
          <w:bottom w:val="single" w:sz="4" w:space="1" w:color="00000A"/>
        </w:pBdr>
        <w:tabs>
          <w:tab w:val="clear" w:pos="720"/>
          <w:tab w:val="left" w:pos="284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284" w:leader="none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Гражданство (если изменялось, то указать, когда и по какой причине):</w:t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284" w:leader="none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Семейное положение:</w:t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284" w:leader="none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Адрес регистрации (прописки):</w:t>
      </w:r>
    </w:p>
    <w:p>
      <w:pPr>
        <w:pStyle w:val="Normal"/>
        <w:pBdr>
          <w:bottom w:val="single" w:sz="4" w:space="1" w:color="00000A"/>
        </w:pBdr>
        <w:tabs>
          <w:tab w:val="clear" w:pos="720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Адрес фактического места проживания:</w:t>
      </w:r>
    </w:p>
    <w:p>
      <w:pPr>
        <w:pStyle w:val="Normal"/>
        <w:pBdr>
          <w:bottom w:val="single" w:sz="4" w:space="1" w:color="00000A"/>
        </w:pBdr>
        <w:tabs>
          <w:tab w:val="clear" w:pos="720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Данные паспорта (серия, номер, кем и когда выдан):</w:t>
      </w:r>
    </w:p>
    <w:p>
      <w:pPr>
        <w:pStyle w:val="Normal"/>
        <w:pBdr>
          <w:bottom w:val="single" w:sz="4" w:space="1" w:color="00000A"/>
        </w:pBdr>
        <w:tabs>
          <w:tab w:val="clear" w:pos="720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</w:t>
      </w:r>
    </w:p>
    <w:p>
      <w:pPr>
        <w:pStyle w:val="Normal"/>
        <w:pBdr>
          <w:bottom w:val="single" w:sz="4" w:space="1" w:color="00000A"/>
        </w:pBdr>
        <w:tabs>
          <w:tab w:val="clear" w:pos="720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10"/>
        </w:numPr>
        <w:pBdr>
          <w:bottom w:val="single" w:sz="4" w:space="1" w:color="00000A"/>
        </w:pBdr>
        <w:tabs>
          <w:tab w:val="clear" w:pos="720"/>
          <w:tab w:val="left" w:pos="426" w:leader="none"/>
        </w:tabs>
        <w:spacing w:before="0" w:after="160"/>
        <w:contextualSpacing w:val="false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последнем месте работы (наименование организации, контактный телефон, период работы):</w:t>
      </w:r>
    </w:p>
    <w:p>
      <w:pPr>
        <w:pStyle w:val="Normal"/>
        <w:ind w:firstLine="708"/>
        <w:rPr>
          <w:sz w:val="24"/>
          <w:szCs w:val="24"/>
        </w:rPr>
      </w:pPr>
      <w:r>
        <w:rPr>
          <w:sz w:val="24"/>
          <w:szCs w:val="24"/>
        </w:rPr>
        <w:t>Я подтверждаю, что вся информация, указанная мною в настоящей анкете, предоставлена добровольно и является достоверной. Мне известно, что в случае предоставления неточных и/или искаженных сведений в настоящей анкете, мне может быть отказано в предоставлении доступа на территорию и объекты Филиала.</w:t>
      </w:r>
    </w:p>
    <w:p>
      <w:pPr>
        <w:pStyle w:val="Normal"/>
        <w:ind w:firstLine="708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</w:r>
    </w:p>
    <w:p>
      <w:pPr>
        <w:pStyle w:val="Normal"/>
        <w:rPr>
          <w:sz w:val="24"/>
          <w:szCs w:val="24"/>
        </w:rPr>
      </w:pPr>
      <w:r>
        <w:rPr>
          <w:rFonts w:eastAsia="Calibri"/>
          <w:bCs/>
          <w:iCs/>
          <w:sz w:val="24"/>
          <w:szCs w:val="24"/>
          <w:lang w:val="x-none" w:eastAsia="x-none"/>
        </w:rPr>
        <w:t>Дата</w:t>
        <w:tab/>
        <w:tab/>
        <w:tab/>
        <w:tab/>
        <w:tab/>
        <w:tab/>
        <w:tab/>
        <w:tab/>
        <w:tab/>
        <w:tab/>
        <w:tab/>
      </w:r>
      <w:r>
        <w:rPr>
          <w:rFonts w:eastAsia="Calibri"/>
          <w:bCs/>
          <w:iCs/>
          <w:sz w:val="24"/>
          <w:szCs w:val="24"/>
          <w:u w:val="single"/>
          <w:lang w:val="x-none" w:eastAsia="x-none"/>
        </w:rPr>
        <w:t>/Подпись/</w:t>
      </w:r>
    </w:p>
    <w:sectPr>
      <w:headerReference w:type="default" r:id="rId8"/>
      <w:headerReference w:type="first" r:id="rId9"/>
      <w:footnotePr>
        <w:numFmt w:val="decimal"/>
      </w:footnotePr>
      <w:type w:val="nextPage"/>
      <w:pgSz w:w="11906" w:h="16838"/>
      <w:pgMar w:left="1134" w:right="851" w:gutter="0" w:header="680" w:top="1134" w:footer="0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Arial Narrow">
    <w:charset w:val="01"/>
    <w:family w:val="roman"/>
    <w:pitch w:val="variable"/>
  </w:font>
  <w:font w:name="Malgun Gothic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wf segoe-ui normal">
    <w:altName w:val="Segoe"/>
    <w:charset w:val="01"/>
    <w:family w:val="roman"/>
    <w:pitch w:val="variable"/>
  </w:font>
  <w:font w:name="Times New                    Ro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/>
      </w:pPr>
      <w:r>
        <w:rPr>
          <w:rStyle w:val="Style"/>
        </w:rPr>
        <w:footnoteRef/>
      </w:r>
      <w:r>
        <w:rPr/>
        <w:t xml:space="preserve"> </w:t>
      </w:r>
      <w:r>
        <w:rPr/>
        <w:t>- при допуске персонала СМО – руководитель работ.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18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11</w:t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22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contextualSpacing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tabs>
        <w:tab w:val="clear" w:pos="720"/>
        <w:tab w:val="left" w:pos="0" w:leader="none"/>
      </w:tabs>
      <w:spacing w:before="120" w:after="60"/>
      <w:ind w:left="1224" w:hanging="504"/>
      <w:contextualSpacing w:val="false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contextualSpacing w:val="false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contextualSpacing w:val="false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contextualSpacing w:val="false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contextualSpacing w:val="false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contextualSpacing w:val="false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9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35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link w:val="Textbody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43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8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6"/>
    <w:qFormat/>
    <w:rsid w:val="00de52bc"/>
    <w:rPr>
      <w:b/>
      <w:sz w:val="28"/>
    </w:rPr>
  </w:style>
  <w:style w:type="character" w:styleId="12" w:customStyle="1">
    <w:name w:val="УРОВЕНЬ_1. Знак"/>
    <w:link w:val="113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Productname" w:customStyle="1">
    <w:name w:val="product__name"/>
    <w:basedOn w:val="DefaultParagraphFont"/>
    <w:qFormat/>
    <w:rPr/>
  </w:style>
  <w:style w:type="character" w:styleId="410pt0pt" w:customStyle="1">
    <w:name w:val="Заголовок №4 + 10 pt;Интервал 0 pt"/>
    <w:basedOn w:val="43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4"/>
      <w:w w:val="100"/>
      <w:sz w:val="20"/>
      <w:szCs w:val="20"/>
      <w:u w:val="none"/>
      <w:shd w:fill="FFFFFF" w:val="clear"/>
      <w:lang w:val="ru-RU"/>
    </w:rPr>
  </w:style>
  <w:style w:type="character" w:styleId="3115pt0pt" w:customStyle="1">
    <w:name w:val="Основной текст (3) + 11;5 pt;Интервал 0 pt"/>
    <w:basedOn w:val="34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5"/>
      <w:w w:val="100"/>
      <w:sz w:val="23"/>
      <w:szCs w:val="23"/>
      <w:u w:val="none"/>
      <w:shd w:fill="FFFFFF" w:val="clear"/>
      <w:lang w:val="ru-RU"/>
    </w:rPr>
  </w:style>
  <w:style w:type="character" w:styleId="CharStyle5" w:customStyle="1">
    <w:name w:val="Char Style 5"/>
    <w:basedOn w:val="DefaultParagraphFont"/>
    <w:qFormat/>
    <w:rPr>
      <w:shd w:fill="FFFFFF" w:val="clear"/>
    </w:rPr>
  </w:style>
  <w:style w:type="character" w:styleId="41" w:customStyle="1">
    <w:name w:val="Основной текст4"/>
    <w:basedOn w:val="Style22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  <w:shd w:fill="FFFFFF" w:val="clear"/>
      <w:lang w:val="ru-RU"/>
    </w:rPr>
  </w:style>
  <w:style w:type="character" w:styleId="Style15" w:customStyle="1">
    <w:name w:val="Таблица Знак"/>
    <w:basedOn w:val="DefaultParagraphFont"/>
    <w:qFormat/>
    <w:rPr>
      <w:rFonts w:ascii="Times New Roman" w:hAnsi="Times New Roman" w:eastAsia="Times New Roman"/>
    </w:rPr>
  </w:style>
  <w:style w:type="character" w:styleId="Style16" w:customStyle="1">
    <w:name w:val="Простой текст Знак"/>
    <w:qFormat/>
    <w:rPr>
      <w:rFonts w:ascii="Times New Roman" w:hAnsi="Times New Roman" w:eastAsia="Times New Roman"/>
    </w:rPr>
  </w:style>
  <w:style w:type="character" w:styleId="6pt" w:customStyle="1">
    <w:name w:val="Основной текст + 6 pt"/>
    <w:qFormat/>
    <w:rPr>
      <w:rFonts w:ascii="Arial" w:hAnsi="Arial"/>
      <w:sz w:val="12"/>
      <w:shd w:fill="FFFFFF" w:val="clear"/>
    </w:rPr>
  </w:style>
  <w:style w:type="character" w:styleId="ArialNarrow" w:customStyle="1">
    <w:name w:val="Основной текст + Arial Narrow"/>
    <w:qFormat/>
    <w:rPr>
      <w:rFonts w:ascii="Arial Narrow" w:hAnsi="Arial Narrow"/>
      <w:sz w:val="24"/>
      <w:shd w:fill="FFFFFF" w:val="clear"/>
    </w:rPr>
  </w:style>
  <w:style w:type="character" w:styleId="14" w:customStyle="1">
    <w:name w:val="Знак Знак1"/>
    <w:qFormat/>
    <w:rPr>
      <w:rFonts w:ascii="Calibri" w:hAnsi="Calibri"/>
      <w:lang w:eastAsia="en-US"/>
    </w:rPr>
  </w:style>
  <w:style w:type="character" w:styleId="33" w:customStyle="1">
    <w:name w:val="Основной текст 3 Знак"/>
    <w:qFormat/>
    <w:rPr>
      <w:rFonts w:ascii="Times New Roman" w:hAnsi="Times New Roman"/>
      <w:sz w:val="16"/>
    </w:rPr>
  </w:style>
  <w:style w:type="character" w:styleId="Submenu-table" w:customStyle="1">
    <w:name w:val="submenu-table"/>
    <w:qFormat/>
    <w:rPr/>
  </w:style>
  <w:style w:type="character" w:styleId="Butback1" w:customStyle="1">
    <w:name w:val="butback1"/>
    <w:qFormat/>
    <w:rPr>
      <w:color w:val="666666"/>
    </w:rPr>
  </w:style>
  <w:style w:type="character" w:styleId="Style17" w:customStyle="1">
    <w:name w:val="Красная строка Знак"/>
    <w:qFormat/>
    <w:rPr>
      <w:sz w:val="22"/>
      <w:lang w:eastAsia="en-US"/>
    </w:rPr>
  </w:style>
  <w:style w:type="character" w:styleId="Style18" w:customStyle="1">
    <w:name w:val="Основной текст с отступом Знак"/>
    <w:qFormat/>
    <w:rPr>
      <w:sz w:val="22"/>
      <w:lang w:eastAsia="en-US"/>
    </w:rPr>
  </w:style>
  <w:style w:type="character" w:styleId="15" w:customStyle="1">
    <w:name w:val="Основной текст Знак1"/>
    <w:qFormat/>
    <w:rPr>
      <w:rFonts w:ascii="Times New Roman" w:hAnsi="Times New Roman"/>
      <w:shd w:fill="FFFFFF" w:val="clear"/>
    </w:rPr>
  </w:style>
  <w:style w:type="character" w:styleId="27" w:customStyle="1">
    <w:name w:val="Основной текст (27) + Полужирный"/>
    <w:qFormat/>
    <w:rPr>
      <w:rFonts w:ascii="Times New Roman" w:hAnsi="Times New Roman"/>
      <w:b/>
      <w:color w:val="000000"/>
      <w:w w:val="100"/>
      <w:sz w:val="48"/>
      <w:shd w:fill="FFFFFF" w:val="clear"/>
    </w:rPr>
  </w:style>
  <w:style w:type="character" w:styleId="27Exact" w:customStyle="1">
    <w:name w:val="Основной текст (27) Exact"/>
    <w:qFormat/>
    <w:rPr>
      <w:rFonts w:ascii="Times New Roman" w:hAnsi="Times New Roman"/>
      <w:spacing w:val="-96"/>
      <w:sz w:val="48"/>
      <w:shd w:fill="FFFFFF" w:val="clear"/>
    </w:rPr>
  </w:style>
  <w:style w:type="character" w:styleId="26Exact" w:customStyle="1">
    <w:name w:val="Основной текст (26) Exact"/>
    <w:qFormat/>
    <w:rPr>
      <w:rFonts w:ascii="Times New Roman" w:hAnsi="Times New Roman"/>
      <w:b/>
      <w:sz w:val="48"/>
      <w:shd w:fill="FFFFFF" w:val="clear"/>
    </w:rPr>
  </w:style>
  <w:style w:type="character" w:styleId="3Exact" w:customStyle="1">
    <w:name w:val="Основной текст (3) Exact"/>
    <w:qFormat/>
    <w:rPr>
      <w:rFonts w:ascii="Times New Roman" w:hAnsi="Times New Roman"/>
      <w:b/>
      <w:spacing w:val="-5"/>
      <w:sz w:val="25"/>
      <w:u w:val="none"/>
    </w:rPr>
  </w:style>
  <w:style w:type="character" w:styleId="34" w:customStyle="1">
    <w:name w:val="Основной текст (3)_"/>
    <w:qFormat/>
    <w:rPr>
      <w:rFonts w:ascii="Times New Roman" w:hAnsi="Times New Roman"/>
      <w:b/>
      <w:sz w:val="27"/>
      <w:shd w:fill="FFFFFF" w:val="clear"/>
    </w:rPr>
  </w:style>
  <w:style w:type="character" w:styleId="51" w:customStyle="1">
    <w:name w:val="Основной текст + 51"/>
    <w:qFormat/>
    <w:rPr>
      <w:rFonts w:ascii="Times New Roman" w:hAnsi="Times New Roman"/>
      <w:color w:val="000000"/>
      <w:spacing w:val="17"/>
      <w:w w:val="100"/>
      <w:sz w:val="11"/>
      <w:u w:val="none"/>
      <w:shd w:fill="FFFFFF" w:val="clear"/>
      <w:lang w:val="ru-RU"/>
    </w:rPr>
  </w:style>
  <w:style w:type="character" w:styleId="42" w:customStyle="1">
    <w:name w:val="Заголовок №4 + Не полужирный"/>
    <w:qFormat/>
    <w:rPr>
      <w:rFonts w:ascii="Times New Roman" w:hAnsi="Times New Roman"/>
      <w:color w:val="000000"/>
      <w:spacing w:val="0"/>
      <w:w w:val="100"/>
      <w:sz w:val="21"/>
      <w:u w:val="none"/>
      <w:shd w:fill="FFFFFF" w:val="clear"/>
      <w:lang w:val="ru-RU"/>
    </w:rPr>
  </w:style>
  <w:style w:type="character" w:styleId="24Exact" w:customStyle="1">
    <w:name w:val="Основной текст (24) Exact"/>
    <w:qFormat/>
    <w:rPr>
      <w:rFonts w:ascii="Times New Roman" w:hAnsi="Times New Roman"/>
      <w:i/>
      <w:spacing w:val="-66"/>
      <w:sz w:val="33"/>
      <w:shd w:fill="FFFFFF" w:val="clear"/>
    </w:rPr>
  </w:style>
  <w:style w:type="character" w:styleId="6Exact" w:customStyle="1">
    <w:name w:val="Основной текст (6) Exact"/>
    <w:qFormat/>
    <w:rPr>
      <w:rFonts w:ascii="Times New Roman" w:hAnsi="Times New Roman"/>
      <w:spacing w:val="4"/>
      <w:sz w:val="32"/>
      <w:u w:val="none"/>
    </w:rPr>
  </w:style>
  <w:style w:type="character" w:styleId="61" w:customStyle="1">
    <w:name w:val="Основной текст (6)_"/>
    <w:qFormat/>
    <w:rPr>
      <w:rFonts w:ascii="Times New Roman" w:hAnsi="Times New Roman"/>
      <w:sz w:val="34"/>
      <w:shd w:fill="FFFFFF" w:val="clear"/>
    </w:rPr>
  </w:style>
  <w:style w:type="character" w:styleId="121" w:customStyle="1">
    <w:name w:val="Основной текст (12)_"/>
    <w:qFormat/>
    <w:rPr>
      <w:rFonts w:ascii="Times New Roman" w:hAnsi="Times New Roman"/>
      <w:spacing w:val="10"/>
      <w:sz w:val="17"/>
      <w:shd w:fill="FFFFFF" w:val="clear"/>
    </w:rPr>
  </w:style>
  <w:style w:type="character" w:styleId="7pt" w:customStyle="1">
    <w:name w:val="Основной текст + 7 pt"/>
    <w:qFormat/>
    <w:rPr>
      <w:rFonts w:ascii="Times New Roman" w:hAnsi="Times New Roman"/>
      <w:color w:val="000000"/>
      <w:spacing w:val="0"/>
      <w:w w:val="100"/>
      <w:sz w:val="14"/>
      <w:u w:val="none"/>
      <w:shd w:fill="FFFFFF" w:val="clear"/>
      <w:lang w:val="ru-RU"/>
    </w:rPr>
  </w:style>
  <w:style w:type="character" w:styleId="12Exact" w:customStyle="1">
    <w:name w:val="Основной текст (12) Exact"/>
    <w:qFormat/>
    <w:rPr>
      <w:rFonts w:ascii="Times New Roman" w:hAnsi="Times New Roman"/>
      <w:spacing w:val="12"/>
      <w:sz w:val="16"/>
      <w:u w:val="none"/>
    </w:rPr>
  </w:style>
  <w:style w:type="character" w:styleId="Exact" w:customStyle="1">
    <w:name w:val="Основной текст Exact"/>
    <w:qFormat/>
    <w:rPr>
      <w:rFonts w:ascii="Times New Roman" w:hAnsi="Times New Roman"/>
      <w:spacing w:val="6"/>
      <w:sz w:val="19"/>
      <w:u w:val="none"/>
    </w:rPr>
  </w:style>
  <w:style w:type="character" w:styleId="5Exact" w:customStyle="1">
    <w:name w:val="Основной текст (5) Exact"/>
    <w:qFormat/>
    <w:rPr>
      <w:rFonts w:ascii="Times New Roman" w:hAnsi="Times New Roman"/>
      <w:b/>
      <w:spacing w:val="2"/>
      <w:sz w:val="33"/>
      <w:u w:val="none"/>
    </w:rPr>
  </w:style>
  <w:style w:type="character" w:styleId="16" w:customStyle="1">
    <w:name w:val="Основной текст (16)_"/>
    <w:qFormat/>
    <w:rPr>
      <w:rFonts w:ascii="Malgun Gothic" w:hAnsi="Malgun Gothic" w:eastAsia="Malgun Gothic"/>
      <w:i/>
      <w:sz w:val="13"/>
      <w:shd w:fill="FFFFFF" w:val="clear"/>
    </w:rPr>
  </w:style>
  <w:style w:type="character" w:styleId="My" w:customStyle="1">
    <w:name w:val="my Знак"/>
    <w:qFormat/>
    <w:rPr>
      <w:rFonts w:ascii="Times New Roman" w:hAnsi="Times New Roman"/>
      <w:b/>
      <w:sz w:val="28"/>
      <w:lang w:val="ru-RU" w:eastAsia="ru-RU"/>
    </w:rPr>
  </w:style>
  <w:style w:type="character" w:styleId="Style19" w:customStyle="1">
    <w:name w:val="Без интервала Знак"/>
    <w:qFormat/>
    <w:rPr>
      <w:rFonts w:eastAsia="Times New Roman"/>
      <w:sz w:val="22"/>
      <w:lang w:val="ru-RU" w:eastAsia="ru-RU"/>
    </w:rPr>
  </w:style>
  <w:style w:type="character" w:styleId="43" w:customStyle="1">
    <w:name w:val="Заголовок №4_"/>
    <w:qFormat/>
    <w:rPr>
      <w:rFonts w:ascii="Times New Roman" w:hAnsi="Times New Roman"/>
      <w:b/>
      <w:sz w:val="21"/>
      <w:shd w:fill="FFFFFF" w:val="clear"/>
    </w:rPr>
  </w:style>
  <w:style w:type="character" w:styleId="81" w:customStyle="1">
    <w:name w:val="Основной текст + 8"/>
    <w:qFormat/>
    <w:rPr>
      <w:rFonts w:ascii="Times New Roman" w:hAnsi="Times New Roman"/>
      <w:color w:val="000000"/>
      <w:spacing w:val="10"/>
      <w:w w:val="100"/>
      <w:sz w:val="17"/>
      <w:u w:val="none"/>
      <w:shd w:fill="FFFFFF" w:val="clear"/>
    </w:rPr>
  </w:style>
  <w:style w:type="character" w:styleId="Style20" w:customStyle="1">
    <w:name w:val="Подпись к таблице_"/>
    <w:qFormat/>
    <w:rPr>
      <w:rFonts w:ascii="Times New Roman" w:hAnsi="Times New Roman"/>
      <w:sz w:val="21"/>
      <w:shd w:fill="FFFFFF" w:val="clear"/>
    </w:rPr>
  </w:style>
  <w:style w:type="character" w:styleId="Style21" w:customStyle="1">
    <w:name w:val="Основной текст + Полужирный"/>
    <w:qFormat/>
    <w:rPr>
      <w:rFonts w:ascii="Times New Roman" w:hAnsi="Times New Roman"/>
      <w:b/>
      <w:color w:val="000000"/>
      <w:spacing w:val="0"/>
      <w:w w:val="100"/>
      <w:sz w:val="21"/>
      <w:u w:val="none"/>
      <w:shd w:fill="FFFFFF" w:val="clear"/>
      <w:lang w:val="ru-RU"/>
    </w:rPr>
  </w:style>
  <w:style w:type="character" w:styleId="17" w:customStyle="1">
    <w:name w:val="Основной текст1"/>
    <w:qFormat/>
    <w:rPr>
      <w:rFonts w:ascii="Times New Roman" w:hAnsi="Times New Roman"/>
      <w:color w:val="000000"/>
      <w:spacing w:val="0"/>
      <w:w w:val="100"/>
      <w:sz w:val="21"/>
      <w:u w:val="none"/>
      <w:shd w:fill="FFFFFF" w:val="clear"/>
      <w:lang w:val="ru-RU"/>
    </w:rPr>
  </w:style>
  <w:style w:type="character" w:styleId="23" w:customStyle="1">
    <w:name w:val="Основной текст (23)_"/>
    <w:qFormat/>
    <w:rPr>
      <w:rFonts w:ascii="Times New Roman" w:hAnsi="Times New Roman"/>
      <w:sz w:val="14"/>
      <w:shd w:fill="FFFFFF" w:val="clear"/>
    </w:rPr>
  </w:style>
  <w:style w:type="character" w:styleId="23Exact" w:customStyle="1">
    <w:name w:val="Основной текст (23) Exact"/>
    <w:qFormat/>
    <w:rPr>
      <w:rFonts w:ascii="Times New Roman" w:hAnsi="Times New Roman"/>
      <w:spacing w:val="10"/>
      <w:sz w:val="13"/>
      <w:u w:val="none"/>
    </w:rPr>
  </w:style>
  <w:style w:type="character" w:styleId="52" w:customStyle="1">
    <w:name w:val="Основной текст + 5"/>
    <w:qFormat/>
    <w:rPr>
      <w:rFonts w:ascii="Times New Roman" w:hAnsi="Times New Roman"/>
      <w:color w:val="000000"/>
      <w:spacing w:val="20"/>
      <w:w w:val="100"/>
      <w:sz w:val="11"/>
      <w:u w:val="none"/>
      <w:shd w:fill="FFFFFF" w:val="clear"/>
      <w:lang w:val="ru-RU"/>
    </w:rPr>
  </w:style>
  <w:style w:type="character" w:styleId="Style22" w:customStyle="1">
    <w:name w:val="Основной текст_"/>
    <w:qFormat/>
    <w:rPr>
      <w:rFonts w:ascii="Times New Roman" w:hAnsi="Times New Roman"/>
      <w:sz w:val="21"/>
      <w:shd w:fill="FFFFFF" w:val="clear"/>
    </w:rPr>
  </w:style>
  <w:style w:type="character" w:styleId="53" w:customStyle="1">
    <w:name w:val="Основной текст (5)_"/>
    <w:qFormat/>
    <w:rPr>
      <w:rFonts w:ascii="Times New Roman" w:hAnsi="Times New Roman"/>
      <w:b/>
      <w:sz w:val="35"/>
      <w:shd w:fill="FFFFFF" w:val="clear"/>
    </w:rPr>
  </w:style>
  <w:style w:type="character" w:styleId="FontStyle26" w:customStyle="1">
    <w:name w:val="Font Style26"/>
    <w:qFormat/>
    <w:rPr>
      <w:rFonts w:ascii="Times New Roman" w:hAnsi="Times New Roman"/>
      <w:sz w:val="24"/>
    </w:rPr>
  </w:style>
  <w:style w:type="character" w:styleId="Style23" w:customStyle="1">
    <w:name w:val="Текст Знак"/>
    <w:qFormat/>
    <w:rPr>
      <w:rFonts w:ascii="Courier New" w:hAnsi="Courier New"/>
      <w:sz w:val="20"/>
    </w:rPr>
  </w:style>
  <w:style w:type="character" w:styleId="24" w:customStyle="1">
    <w:name w:val="Основной текст 2 Знак"/>
    <w:qFormat/>
    <w:rPr>
      <w:rFonts w:ascii="Times New Roman" w:hAnsi="Times New Roman"/>
      <w:sz w:val="20"/>
    </w:rPr>
  </w:style>
  <w:style w:type="character" w:styleId="Style24" w:customStyle="1">
    <w:name w:val="Тема примечания Знак"/>
    <w:qFormat/>
    <w:rPr>
      <w:rFonts w:ascii="Times New Roman" w:hAnsi="Times New Roman"/>
      <w:b/>
      <w:sz w:val="20"/>
      <w:lang w:eastAsia="ru-RU"/>
    </w:rPr>
  </w:style>
  <w:style w:type="character" w:styleId="3-2" w:customStyle="1">
    <w:name w:val="Средняя сетка 3 - Акцент 2 Знак"/>
    <w:qFormat/>
    <w:rPr>
      <w:rFonts w:ascii="Calibri" w:hAnsi="Calibri"/>
      <w:b/>
      <w:i/>
      <w:color w:val="4F81BD"/>
      <w:sz w:val="20"/>
    </w:rPr>
  </w:style>
  <w:style w:type="character" w:styleId="2-2" w:customStyle="1">
    <w:name w:val="Средняя сетка 2 - Акцент 2 Знак"/>
    <w:qFormat/>
    <w:rPr>
      <w:rFonts w:ascii="Calibri" w:hAnsi="Calibri"/>
      <w:i/>
      <w:color w:val="000000"/>
      <w:sz w:val="20"/>
    </w:rPr>
  </w:style>
  <w:style w:type="character" w:styleId="Style25" w:customStyle="1">
    <w:name w:val="Схема документа Знак"/>
    <w:qFormat/>
    <w:rPr>
      <w:rFonts w:ascii="Tahoma" w:hAnsi="Tahoma"/>
      <w:sz w:val="16"/>
    </w:rPr>
  </w:style>
  <w:style w:type="character" w:styleId="Linenumber">
    <w:name w:val="line number"/>
    <w:qFormat/>
    <w:rPr>
      <w:rFonts w:cs="Times New Roman"/>
    </w:rPr>
  </w:style>
  <w:style w:type="character" w:styleId="Style26" w:customStyle="1">
    <w:name w:val="Нижний колонтитул Знак"/>
    <w:basedOn w:val="DefaultParagraphFont"/>
    <w:qFormat/>
    <w:rPr/>
  </w:style>
  <w:style w:type="character" w:styleId="Apple-converted-space" w:customStyle="1">
    <w:name w:val="apple-converted-space"/>
    <w:qFormat/>
    <w:rPr/>
  </w:style>
  <w:style w:type="character" w:styleId="Apple-style-span" w:customStyle="1">
    <w:name w:val="apple-style-span"/>
    <w:qFormat/>
    <w:rPr/>
  </w:style>
  <w:style w:type="character" w:styleId="Style27" w:customStyle="1">
    <w:name w:val="Текст выноски Знак"/>
    <w:qFormat/>
    <w:rPr>
      <w:rFonts w:ascii="Tahoma" w:hAnsi="Tahoma"/>
      <w:sz w:val="16"/>
    </w:rPr>
  </w:style>
  <w:style w:type="character" w:styleId="Style28" w:customStyle="1">
    <w:name w:val="Символ нумерации"/>
    <w:qFormat/>
    <w:rPr/>
  </w:style>
  <w:style w:type="paragraph" w:styleId="Style29">
    <w:name w:val="Заголовок"/>
    <w:basedOn w:val="Normal"/>
    <w:next w:val="BodyText"/>
    <w:qFormat/>
    <w:pPr>
      <w:keepNext w:val="true"/>
      <w:spacing w:before="240" w:after="120"/>
      <w:contextualSpacing w:val="false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  <w:contextualSpacing w:val="false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  <w:contextualSpacing w:val="false"/>
    </w:pPr>
    <w:rPr>
      <w:rFonts w:cs="Arial Unicode MS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  <w:contextualSpacing w:val="false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  <w:contextualSpacing w:val="false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  <w:contextualSpacing w:val="false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Style31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2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contextualSpacing w:val="false"/>
      <w:jc w:val="center"/>
    </w:pPr>
    <w:rPr>
      <w:b/>
      <w:sz w:val="32"/>
      <w:szCs w:val="32"/>
    </w:rPr>
  </w:style>
  <w:style w:type="paragraph" w:styleId="Style33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contextualSpacing w:val="false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8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contextualSpacing w:val="false"/>
      <w:jc w:val="center"/>
    </w:pPr>
    <w:rPr>
      <w:sz w:val="22"/>
      <w:szCs w:val="22"/>
    </w:rPr>
  </w:style>
  <w:style w:type="paragraph" w:styleId="25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contextualSpacing w:val="false"/>
      <w:jc w:val="center"/>
    </w:pPr>
    <w:rPr>
      <w:b/>
      <w:sz w:val="22"/>
      <w:szCs w:val="22"/>
    </w:rPr>
  </w:style>
  <w:style w:type="paragraph" w:styleId="35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contextualSpacing w:val="false"/>
      <w:jc w:val="center"/>
    </w:pPr>
    <w:rPr>
      <w:b/>
      <w:sz w:val="24"/>
      <w:szCs w:val="24"/>
    </w:rPr>
  </w:style>
  <w:style w:type="paragraph" w:styleId="19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4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20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  <w:contextualSpacing w:val="false"/>
    </w:pPr>
    <w:rPr/>
  </w:style>
  <w:style w:type="paragraph" w:styleId="BodyText3">
    <w:name w:val="Body Text 3"/>
    <w:basedOn w:val="Normal"/>
    <w:qFormat/>
    <w:rsid w:val="0076353a"/>
    <w:pPr>
      <w:spacing w:before="0" w:after="120"/>
      <w:contextualSpacing w:val="false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  <w:contextualSpacing w:val="false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  <w:contextualSpacing w:val="false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5" w:customStyle="1">
    <w:name w:val="Подпункт"/>
    <w:basedOn w:val="Normal"/>
    <w:link w:val="11"/>
    <w:qFormat/>
    <w:rsid w:val="0076353a"/>
    <w:pPr>
      <w:tabs>
        <w:tab w:val="clear" w:pos="720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6" w:customStyle="1">
    <w:name w:val="Пункт2"/>
    <w:basedOn w:val="Normal"/>
    <w:link w:val="22"/>
    <w:qFormat/>
    <w:rsid w:val="0076353a"/>
    <w:pPr>
      <w:keepNext w:val="true"/>
      <w:tabs>
        <w:tab w:val="clear" w:pos="720"/>
        <w:tab w:val="left" w:pos="1134" w:leader="none"/>
      </w:tabs>
      <w:snapToGrid w:val="false"/>
      <w:spacing w:before="240" w:after="120"/>
      <w:ind w:left="1134" w:hanging="1134"/>
      <w:contextualSpacing w:val="false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  <w:contextualSpacing w:val="false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tabs>
        <w:tab w:val="clear" w:pos="720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36" w:customStyle="1">
    <w:name w:val="Раздел регламента"/>
    <w:basedOn w:val="Normal"/>
    <w:qFormat/>
    <w:rsid w:val="00e228fa"/>
    <w:pPr/>
    <w:rPr/>
  </w:style>
  <w:style w:type="paragraph" w:styleId="Style37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  <w:contextualSpacing w:val="false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10" w:customStyle="1">
    <w:name w:val="Обычный (веб)1"/>
    <w:basedOn w:val="Normal"/>
    <w:uiPriority w:val="99"/>
    <w:qFormat/>
    <w:rsid w:val="002f559a"/>
    <w:pPr>
      <w:spacing w:beforeAutospacing="1" w:afterAutospacing="1"/>
      <w:contextualSpacing w:val="false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8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38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contextualSpacing w:val="false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" w:customStyle="1">
    <w:name w:val="caption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ind w:left="720" w:hanging="0"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  <w:contextualSpacing w:val="false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29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39" w:customStyle="1">
    <w:name w:val="Знак"/>
    <w:basedOn w:val="Normal"/>
    <w:qFormat/>
    <w:rsid w:val="00d22f6d"/>
    <w:pPr>
      <w:spacing w:lineRule="exact" w:line="240" w:before="0" w:after="160"/>
      <w:contextualSpacing w:val="false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contextualSpacing w:val="false"/>
      <w:jc w:val="both"/>
    </w:pPr>
    <w:rPr>
      <w:rFonts w:ascii="Garamond" w:hAnsi="Garamond"/>
      <w:sz w:val="24"/>
      <w:szCs w:val="20"/>
    </w:rPr>
  </w:style>
  <w:style w:type="paragraph" w:styleId="29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contextualSpacing w:val="false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contextualSpacing w:val="false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0" w:customStyle="1">
    <w:name w:val="Пункт"/>
    <w:basedOn w:val="Normal"/>
    <w:qFormat/>
    <w:rsid w:val="00d22f6d"/>
    <w:pPr>
      <w:widowControl w:val="false"/>
      <w:tabs>
        <w:tab w:val="clear" w:pos="720"/>
        <w:tab w:val="left" w:pos="1134" w:leader="none"/>
      </w:tabs>
      <w:spacing w:lineRule="auto" w:line="360" w:before="120" w:after="0"/>
      <w:ind w:left="1134" w:right="800" w:hanging="1134"/>
      <w:contextualSpacing w:val="false"/>
      <w:jc w:val="both"/>
    </w:pPr>
    <w:rPr>
      <w:rFonts w:ascii="Arial" w:hAnsi="Arial"/>
      <w:b/>
      <w:i/>
      <w:szCs w:val="20"/>
    </w:rPr>
  </w:style>
  <w:style w:type="paragraph" w:styleId="111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1" w:customStyle="1">
    <w:name w:val="Таблица"/>
    <w:basedOn w:val="Normal"/>
    <w:qFormat/>
    <w:rsid w:val="0041356c"/>
    <w:pPr>
      <w:keepNext w:val="true"/>
      <w:spacing w:before="60" w:after="60"/>
      <w:contextualSpacing w:val="false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2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  <w:contextualSpacing w:val="false"/>
    </w:pPr>
    <w:rPr>
      <w:sz w:val="22"/>
      <w:szCs w:val="26"/>
    </w:rPr>
  </w:style>
  <w:style w:type="paragraph" w:styleId="Style43" w:customStyle="1">
    <w:name w:val="Подподпункт"/>
    <w:basedOn w:val="Style35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  <w:contextualSpacing w:val="false"/>
    </w:pPr>
    <w:rPr>
      <w:sz w:val="26"/>
      <w:szCs w:val="26"/>
      <w:lang w:val="ru-RU" w:eastAsia="ru-RU"/>
    </w:rPr>
  </w:style>
  <w:style w:type="paragraph" w:styleId="Style44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10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8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45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12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11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contextualSpacing w:val="false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46" w:customStyle="1">
    <w:name w:val="Таблица текст"/>
    <w:basedOn w:val="Normal"/>
    <w:qFormat/>
    <w:rsid w:val="00343e95"/>
    <w:pPr>
      <w:spacing w:before="40" w:after="40"/>
      <w:ind w:left="57" w:right="57" w:hanging="0"/>
      <w:contextualSpacing w:val="false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  <w:contextualSpacing w:val="false"/>
    </w:pPr>
    <w:rPr>
      <w:sz w:val="24"/>
      <w:szCs w:val="24"/>
    </w:rPr>
  </w:style>
  <w:style w:type="paragraph" w:styleId="113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47" w:customStyle="1">
    <w:name w:val="Содержимое врезки"/>
    <w:basedOn w:val="Normal"/>
    <w:qFormat/>
    <w:pPr/>
    <w:rPr/>
  </w:style>
  <w:style w:type="paragraph" w:styleId="Style48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49" w:customStyle="1">
    <w:name w:val="Заголовок таблицы"/>
    <w:basedOn w:val="Style48"/>
    <w:qFormat/>
    <w:pPr>
      <w:jc w:val="center"/>
    </w:pPr>
    <w:rPr>
      <w:b/>
      <w:bCs/>
    </w:rPr>
  </w:style>
  <w:style w:type="paragraph" w:styleId="114" w:customStyle="1">
    <w:name w:val="Основной текст11"/>
    <w:basedOn w:val="Normal"/>
    <w:qFormat/>
    <w:pPr>
      <w:widowControl w:val="false"/>
      <w:shd w:val="clear" w:color="auto" w:fill="FFFFFF"/>
      <w:spacing w:lineRule="atLeast" w:line="0" w:before="0" w:after="180"/>
      <w:ind w:hanging="260"/>
      <w:contextualSpacing w:val="false"/>
      <w:jc w:val="center"/>
    </w:pPr>
    <w:rPr>
      <w:color w:val="000000"/>
      <w:sz w:val="20"/>
      <w:szCs w:val="20"/>
      <w:lang w:bidi="he-IL"/>
    </w:rPr>
  </w:style>
  <w:style w:type="paragraph" w:styleId="212" w:customStyle="1">
    <w:name w:val="ККГЭС Заголовок 2"/>
    <w:basedOn w:val="Normal"/>
    <w:next w:val="Normal"/>
    <w:qFormat/>
    <w:pPr>
      <w:spacing w:before="0" w:after="240"/>
      <w:ind w:left="851" w:hanging="0"/>
      <w:contextualSpacing w:val="false"/>
      <w:jc w:val="both"/>
      <w:outlineLvl w:val="1"/>
    </w:pPr>
    <w:rPr>
      <w:rFonts w:eastAsia="Calibri"/>
      <w:b/>
      <w:caps/>
    </w:rPr>
  </w:style>
  <w:style w:type="paragraph" w:styleId="Style410" w:customStyle="1">
    <w:name w:val="Style 4"/>
    <w:basedOn w:val="Normal"/>
    <w:qFormat/>
    <w:pPr>
      <w:widowControl w:val="false"/>
      <w:shd w:val="clear" w:color="auto" w:fill="FFFFFF"/>
      <w:spacing w:lineRule="exact" w:line="322" w:before="60" w:after="0"/>
      <w:ind w:hanging="720"/>
      <w:contextualSpacing w:val="false"/>
    </w:pPr>
    <w:rPr>
      <w:sz w:val="20"/>
      <w:szCs w:val="20"/>
    </w:rPr>
  </w:style>
  <w:style w:type="paragraph" w:styleId="39" w:customStyle="1">
    <w:name w:val="Основной текст3"/>
    <w:basedOn w:val="Normal"/>
    <w:qFormat/>
    <w:pPr>
      <w:widowControl w:val="false"/>
      <w:shd w:val="clear" w:color="auto" w:fill="FFFFFF"/>
      <w:spacing w:lineRule="exact" w:line="298" w:before="0" w:after="240"/>
      <w:contextualSpacing w:val="false"/>
      <w:jc w:val="both"/>
    </w:pPr>
    <w:rPr>
      <w:color w:val="000000"/>
      <w:sz w:val="24"/>
      <w:szCs w:val="24"/>
    </w:rPr>
  </w:style>
  <w:style w:type="paragraph" w:styleId="54" w:customStyle="1">
    <w:name w:val="Основной текст5"/>
    <w:basedOn w:val="Normal"/>
    <w:qFormat/>
    <w:pPr>
      <w:widowControl w:val="false"/>
      <w:shd w:val="clear" w:color="auto" w:fill="FFFFFF"/>
      <w:spacing w:lineRule="exact" w:line="322" w:before="0" w:after="300"/>
      <w:contextualSpacing w:val="false"/>
      <w:jc w:val="both"/>
    </w:pPr>
    <w:rPr>
      <w:color w:val="000000"/>
      <w:sz w:val="23"/>
      <w:szCs w:val="23"/>
    </w:rPr>
  </w:style>
  <w:style w:type="paragraph" w:styleId="Textbody" w:customStyle="1">
    <w:name w:val="Text body"/>
    <w:basedOn w:val="Normal"/>
    <w:qFormat/>
    <w:pPr>
      <w:widowControl w:val="false"/>
      <w:spacing w:before="0" w:after="120"/>
      <w:contextualSpacing w:val="false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213" w:customStyle="1">
    <w:name w:val="Обычный2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ヒラギノ角ゴ Pro W3" w:cs="Times New Roman"/>
      <w:color w:val="000000"/>
      <w:kern w:val="0"/>
      <w:sz w:val="28"/>
      <w:szCs w:val="20"/>
      <w:lang w:val="ru-RU" w:eastAsia="ru-RU" w:bidi="ar-SA"/>
    </w:rPr>
  </w:style>
  <w:style w:type="paragraph" w:styleId="Style50" w:customStyle="1">
    <w:name w:val="Простой текст"/>
    <w:basedOn w:val="Normal"/>
    <w:qFormat/>
    <w:pPr>
      <w:spacing w:lineRule="auto" w:line="360"/>
      <w:ind w:firstLine="851"/>
      <w:jc w:val="both"/>
    </w:pPr>
    <w:rPr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SimSun" w:cs="Mangal"/>
      <w:color w:val="auto"/>
      <w:kern w:val="2"/>
      <w:sz w:val="24"/>
      <w:szCs w:val="24"/>
      <w:lang w:val="ru-RU" w:eastAsia="zh-CN" w:bidi="hi-IN"/>
    </w:rPr>
  </w:style>
  <w:style w:type="paragraph" w:styleId="ListBullet41" w:customStyle="1">
    <w:name w:val="List Bullet 41"/>
    <w:basedOn w:val="Normal"/>
    <w:qFormat/>
    <w:pPr>
      <w:tabs>
        <w:tab w:val="clear" w:pos="720"/>
        <w:tab w:val="left" w:pos="1209" w:leader="none"/>
      </w:tabs>
      <w:spacing w:before="0" w:after="200"/>
      <w:ind w:left="1209" w:hanging="360"/>
      <w:contextualSpacing/>
    </w:pPr>
    <w:rPr/>
  </w:style>
  <w:style w:type="paragraph" w:styleId="ListBullet">
    <w:name w:val="List Bullet"/>
    <w:basedOn w:val="Normal"/>
    <w:qFormat/>
    <w:pPr>
      <w:numPr>
        <w:ilvl w:val="0"/>
        <w:numId w:val="6"/>
      </w:numPr>
      <w:tabs>
        <w:tab w:val="clear" w:pos="720"/>
        <w:tab w:val="left" w:pos="1134" w:leader="none"/>
      </w:tabs>
      <w:spacing w:before="120" w:after="120"/>
      <w:ind w:left="0" w:firstLine="851"/>
      <w:contextualSpacing w:val="false"/>
      <w:jc w:val="both"/>
    </w:pPr>
    <w:rPr>
      <w:sz w:val="24"/>
      <w:szCs w:val="24"/>
    </w:rPr>
  </w:style>
  <w:style w:type="paragraph" w:styleId="BodyTextIndent1" w:customStyle="1">
    <w:name w:val="Body Text Indent1"/>
    <w:basedOn w:val="BodyText"/>
    <w:qFormat/>
    <w:pPr>
      <w:spacing w:before="0" w:after="200"/>
      <w:ind w:firstLine="360"/>
    </w:pPr>
    <w:rPr/>
  </w:style>
  <w:style w:type="paragraph" w:styleId="Style51" w:customStyle="1">
    <w:name w:val="ККГЭС Текст"/>
    <w:basedOn w:val="Normal"/>
    <w:qFormat/>
    <w:pPr>
      <w:spacing w:before="60" w:after="60"/>
      <w:ind w:firstLine="708"/>
      <w:contextualSpacing w:val="false"/>
    </w:pPr>
    <w:rPr>
      <w:sz w:val="24"/>
      <w:szCs w:val="24"/>
    </w:rPr>
  </w:style>
  <w:style w:type="paragraph" w:styleId="Style52" w:customStyle="1">
    <w:name w:val="Основной"/>
    <w:basedOn w:val="Normal"/>
    <w:qFormat/>
    <w:pPr>
      <w:spacing w:before="0" w:after="0"/>
      <w:ind w:firstLine="709"/>
      <w:contextualSpacing w:val="false"/>
      <w:jc w:val="both"/>
    </w:pPr>
    <w:rPr>
      <w:sz w:val="24"/>
      <w:szCs w:val="24"/>
    </w:rPr>
  </w:style>
  <w:style w:type="paragraph" w:styleId="FORMATTEXT" w:customStyle="1">
    <w:name w:val=".FORMATTEXT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271" w:customStyle="1">
    <w:name w:val="Основной текст (27)"/>
    <w:basedOn w:val="Normal"/>
    <w:qFormat/>
    <w:pPr>
      <w:widowControl w:val="false"/>
      <w:shd w:val="clear" w:color="auto" w:fill="FFFFFF"/>
      <w:spacing w:lineRule="atLeast" w:line="240" w:before="0" w:after="0"/>
      <w:contextualSpacing w:val="false"/>
    </w:pPr>
    <w:rPr>
      <w:spacing w:val="-96"/>
      <w:sz w:val="48"/>
      <w:szCs w:val="20"/>
    </w:rPr>
  </w:style>
  <w:style w:type="paragraph" w:styleId="261" w:customStyle="1">
    <w:name w:val="Основной текст (26)"/>
    <w:basedOn w:val="Normal"/>
    <w:qFormat/>
    <w:pPr>
      <w:widowControl w:val="false"/>
      <w:shd w:val="clear" w:color="auto" w:fill="FFFFFF"/>
      <w:spacing w:lineRule="atLeast" w:line="240" w:before="0" w:after="0"/>
      <w:contextualSpacing w:val="false"/>
    </w:pPr>
    <w:rPr>
      <w:b/>
      <w:sz w:val="48"/>
      <w:szCs w:val="20"/>
    </w:rPr>
  </w:style>
  <w:style w:type="paragraph" w:styleId="310" w:customStyle="1">
    <w:name w:val="Основной текст (3)"/>
    <w:basedOn w:val="Normal"/>
    <w:qFormat/>
    <w:pPr>
      <w:widowControl w:val="false"/>
      <w:shd w:val="clear" w:color="auto" w:fill="FFFFFF"/>
      <w:spacing w:lineRule="atLeast" w:line="240" w:before="0" w:after="120"/>
      <w:contextualSpacing w:val="false"/>
    </w:pPr>
    <w:rPr>
      <w:b/>
      <w:sz w:val="27"/>
      <w:szCs w:val="20"/>
    </w:rPr>
  </w:style>
  <w:style w:type="paragraph" w:styleId="241" w:customStyle="1">
    <w:name w:val="Основной текст (24)"/>
    <w:basedOn w:val="Normal"/>
    <w:qFormat/>
    <w:pPr>
      <w:widowControl w:val="false"/>
      <w:shd w:val="clear" w:color="auto" w:fill="FFFFFF"/>
      <w:spacing w:lineRule="atLeast" w:line="240" w:before="0" w:after="240"/>
      <w:contextualSpacing w:val="false"/>
    </w:pPr>
    <w:rPr>
      <w:i/>
      <w:spacing w:val="-66"/>
      <w:sz w:val="33"/>
      <w:szCs w:val="20"/>
    </w:rPr>
  </w:style>
  <w:style w:type="paragraph" w:styleId="62" w:customStyle="1">
    <w:name w:val="Основной текст (6)"/>
    <w:basedOn w:val="Normal"/>
    <w:qFormat/>
    <w:pPr>
      <w:widowControl w:val="false"/>
      <w:shd w:val="clear" w:color="auto" w:fill="FFFFFF"/>
      <w:spacing w:lineRule="atLeast" w:line="240" w:before="0" w:after="720"/>
      <w:contextualSpacing w:val="false"/>
      <w:jc w:val="center"/>
    </w:pPr>
    <w:rPr>
      <w:sz w:val="34"/>
      <w:szCs w:val="20"/>
    </w:rPr>
  </w:style>
  <w:style w:type="paragraph" w:styleId="122" w:customStyle="1">
    <w:name w:val="Основной текст (12)"/>
    <w:basedOn w:val="Normal"/>
    <w:qFormat/>
    <w:pPr>
      <w:widowControl w:val="false"/>
      <w:shd w:val="clear" w:color="auto" w:fill="FFFFFF"/>
      <w:spacing w:lineRule="exact" w:line="230" w:before="0" w:after="0"/>
      <w:contextualSpacing w:val="false"/>
      <w:jc w:val="center"/>
    </w:pPr>
    <w:rPr>
      <w:spacing w:val="10"/>
      <w:sz w:val="17"/>
      <w:szCs w:val="20"/>
    </w:rPr>
  </w:style>
  <w:style w:type="paragraph" w:styleId="161" w:customStyle="1">
    <w:name w:val="Основной текст (16)"/>
    <w:basedOn w:val="Normal"/>
    <w:qFormat/>
    <w:pPr>
      <w:widowControl w:val="false"/>
      <w:shd w:val="clear" w:color="auto" w:fill="FFFFFF"/>
      <w:spacing w:lineRule="atLeast" w:line="240" w:before="0" w:after="0"/>
      <w:contextualSpacing w:val="false"/>
    </w:pPr>
    <w:rPr>
      <w:rFonts w:ascii="Malgun Gothic" w:hAnsi="Malgun Gothic" w:eastAsia="Malgun Gothic"/>
      <w:i/>
      <w:sz w:val="13"/>
      <w:szCs w:val="20"/>
    </w:rPr>
  </w:style>
  <w:style w:type="paragraph" w:styleId="My1" w:customStyle="1">
    <w:name w:val="my"/>
    <w:basedOn w:val="NoSpacing"/>
    <w:qFormat/>
    <w:pPr>
      <w:ind w:firstLine="567"/>
      <w:outlineLvl w:val="0"/>
    </w:pPr>
    <w:rPr>
      <w:b/>
      <w:sz w:val="28"/>
    </w:rPr>
  </w:style>
  <w:style w:type="paragraph" w:styleId="44" w:customStyle="1">
    <w:name w:val="Заголовок №4"/>
    <w:basedOn w:val="Normal"/>
    <w:qFormat/>
    <w:pPr>
      <w:widowControl w:val="false"/>
      <w:shd w:val="clear" w:color="auto" w:fill="FFFFFF"/>
      <w:spacing w:lineRule="atLeast" w:line="240" w:before="0" w:after="180"/>
      <w:contextualSpacing w:val="false"/>
      <w:jc w:val="right"/>
      <w:outlineLvl w:val="3"/>
    </w:pPr>
    <w:rPr>
      <w:b/>
      <w:sz w:val="21"/>
      <w:szCs w:val="20"/>
    </w:rPr>
  </w:style>
  <w:style w:type="paragraph" w:styleId="Style53" w:customStyle="1">
    <w:name w:val="Подпись к таблице"/>
    <w:basedOn w:val="Normal"/>
    <w:qFormat/>
    <w:pPr>
      <w:widowControl w:val="false"/>
      <w:shd w:val="clear" w:color="auto" w:fill="FFFFFF"/>
      <w:spacing w:lineRule="atLeast" w:line="240" w:before="0" w:after="0"/>
      <w:contextualSpacing w:val="false"/>
    </w:pPr>
    <w:rPr>
      <w:sz w:val="21"/>
      <w:szCs w:val="20"/>
    </w:rPr>
  </w:style>
  <w:style w:type="paragraph" w:styleId="231" w:customStyle="1">
    <w:name w:val="Основной текст (23)"/>
    <w:basedOn w:val="Normal"/>
    <w:qFormat/>
    <w:pPr>
      <w:widowControl w:val="false"/>
      <w:shd w:val="clear" w:color="auto" w:fill="FFFFFF"/>
      <w:spacing w:lineRule="exact" w:line="106" w:before="0" w:after="0"/>
      <w:contextualSpacing w:val="false"/>
    </w:pPr>
    <w:rPr>
      <w:sz w:val="14"/>
      <w:szCs w:val="20"/>
    </w:rPr>
  </w:style>
  <w:style w:type="paragraph" w:styleId="214" w:customStyle="1">
    <w:name w:val="Основной текст2"/>
    <w:basedOn w:val="Normal"/>
    <w:qFormat/>
    <w:pPr>
      <w:widowControl w:val="false"/>
      <w:shd w:val="clear" w:color="auto" w:fill="FFFFFF"/>
      <w:spacing w:lineRule="exact" w:line="86" w:before="0" w:after="0"/>
      <w:ind w:hanging="740"/>
      <w:contextualSpacing w:val="false"/>
    </w:pPr>
    <w:rPr>
      <w:sz w:val="21"/>
      <w:szCs w:val="20"/>
    </w:rPr>
  </w:style>
  <w:style w:type="paragraph" w:styleId="55" w:customStyle="1">
    <w:name w:val="Основной текст (5)"/>
    <w:basedOn w:val="Normal"/>
    <w:qFormat/>
    <w:pPr>
      <w:widowControl w:val="false"/>
      <w:shd w:val="clear" w:color="auto" w:fill="FFFFFF"/>
      <w:spacing w:lineRule="exact" w:line="514" w:before="1080" w:after="0"/>
      <w:contextualSpacing w:val="false"/>
      <w:jc w:val="center"/>
    </w:pPr>
    <w:rPr>
      <w:b/>
      <w:sz w:val="35"/>
      <w:szCs w:val="20"/>
    </w:rPr>
  </w:style>
  <w:style w:type="paragraph" w:styleId="115" w:customStyle="1">
    <w:name w:val="Обычный1"/>
    <w:basedOn w:val="Normal"/>
    <w:qFormat/>
    <w:pPr>
      <w:snapToGrid w:val="false"/>
      <w:spacing w:lineRule="auto" w:line="300" w:before="0" w:after="0"/>
      <w:ind w:left="600" w:hanging="0"/>
      <w:contextualSpacing w:val="false"/>
    </w:pPr>
    <w:rPr/>
  </w:style>
  <w:style w:type="paragraph" w:styleId="116" w:customStyle="1">
    <w:name w:val="Текст1"/>
    <w:basedOn w:val="Normal"/>
    <w:qFormat/>
    <w:pPr>
      <w:spacing w:before="0" w:after="0"/>
      <w:contextualSpacing w:val="false"/>
      <w:textAlignment w:val="baseline"/>
    </w:pPr>
    <w:rPr>
      <w:rFonts w:ascii="Courier New" w:hAnsi="Courier New"/>
      <w:sz w:val="20"/>
      <w:szCs w:val="20"/>
    </w:rPr>
  </w:style>
  <w:style w:type="paragraph" w:styleId="PlainText">
    <w:name w:val="Plain Text"/>
    <w:basedOn w:val="Normal"/>
    <w:qFormat/>
    <w:pPr>
      <w:spacing w:before="0" w:after="0"/>
      <w:contextualSpacing w:val="false"/>
    </w:pPr>
    <w:rPr>
      <w:rFonts w:ascii="Courier New" w:hAnsi="Courier New"/>
      <w:sz w:val="20"/>
      <w:szCs w:val="20"/>
    </w:rPr>
  </w:style>
  <w:style w:type="paragraph" w:styleId="215" w:customStyle="1">
    <w:name w:val="Абзац списка2"/>
    <w:basedOn w:val="Normal"/>
    <w:qFormat/>
    <w:pPr>
      <w:spacing w:before="0" w:after="200"/>
      <w:ind w:left="720" w:hanging="0"/>
      <w:contextualSpacing/>
    </w:pPr>
    <w:rPr/>
  </w:style>
  <w:style w:type="paragraph" w:styleId="2-21" w:customStyle="1">
    <w:name w:val="Средний список 2 - Акцент 2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Bullet4">
    <w:name w:val="List Bullet 4"/>
    <w:basedOn w:val="Normal"/>
    <w:qFormat/>
    <w:pPr>
      <w:numPr>
        <w:ilvl w:val="0"/>
        <w:numId w:val="3"/>
      </w:numPr>
      <w:spacing w:before="120" w:after="0"/>
      <w:contextualSpacing w:val="false"/>
      <w:jc w:val="both"/>
    </w:pPr>
    <w:rPr>
      <w:rFonts w:ascii="Garamond" w:hAnsi="Garamond"/>
      <w:sz w:val="24"/>
      <w:szCs w:val="20"/>
    </w:rPr>
  </w:style>
  <w:style w:type="paragraph" w:styleId="3-21" w:customStyle="1">
    <w:name w:val="Средняя сетка 3 - Акцент 21"/>
    <w:basedOn w:val="Normal"/>
    <w:next w:val="Normal"/>
    <w:qFormat/>
    <w:pPr>
      <w:pBdr>
        <w:bottom w:val="single" w:sz="4" w:space="4" w:color="4F81BD"/>
      </w:pBdr>
      <w:spacing w:before="200" w:after="280"/>
      <w:ind w:left="936" w:right="936" w:hanging="0"/>
      <w:contextualSpacing w:val="false"/>
    </w:pPr>
    <w:rPr>
      <w:b/>
      <w:i/>
      <w:color w:val="4F81BD"/>
      <w:sz w:val="20"/>
      <w:szCs w:val="20"/>
    </w:rPr>
  </w:style>
  <w:style w:type="paragraph" w:styleId="2-211" w:customStyle="1">
    <w:name w:val="Средняя сетка 2 - Акцент 21"/>
    <w:basedOn w:val="Normal"/>
    <w:next w:val="Normal"/>
    <w:qFormat/>
    <w:pPr>
      <w:spacing w:before="0" w:after="0"/>
      <w:contextualSpacing w:val="false"/>
    </w:pPr>
    <w:rPr>
      <w:i/>
      <w:color w:val="000000"/>
      <w:sz w:val="20"/>
      <w:szCs w:val="20"/>
    </w:rPr>
  </w:style>
  <w:style w:type="paragraph" w:styleId="Caption2" w:customStyle="1">
    <w:name w:val="caption2"/>
    <w:basedOn w:val="Normal"/>
    <w:next w:val="Normal"/>
    <w:qFormat/>
    <w:pPr>
      <w:spacing w:before="0" w:after="0"/>
      <w:contextualSpacing w:val="false"/>
    </w:pPr>
    <w:rPr>
      <w:b/>
      <w:bCs/>
      <w:color w:val="4F81BD"/>
      <w:sz w:val="18"/>
      <w:szCs w:val="18"/>
    </w:rPr>
  </w:style>
  <w:style w:type="paragraph" w:styleId="216" w:customStyle="1">
    <w:name w:val="Средняя сетка 21"/>
    <w:basedOn w:val="Normal"/>
    <w:qFormat/>
    <w:pPr>
      <w:spacing w:lineRule="auto" w:line="360" w:before="0" w:after="0"/>
      <w:contextualSpacing w:val="false"/>
    </w:pPr>
    <w:rPr>
      <w:sz w:val="24"/>
      <w:szCs w:val="24"/>
    </w:rPr>
  </w:style>
  <w:style w:type="paragraph" w:styleId="DocumentMap">
    <w:name w:val="Document Map"/>
    <w:basedOn w:val="Normal"/>
    <w:qFormat/>
    <w:pPr>
      <w:spacing w:before="0" w:after="0"/>
      <w:contextualSpacing w:val="false"/>
    </w:pPr>
    <w:rPr>
      <w:rFonts w:ascii="Tahoma" w:hAnsi="Tahoma"/>
      <w:sz w:val="16"/>
      <w:szCs w:val="20"/>
    </w:rPr>
  </w:style>
  <w:style w:type="paragraph" w:styleId="311" w:customStyle="1">
    <w:name w:val="Пункт_3"/>
    <w:basedOn w:val="Normal"/>
    <w:qFormat/>
    <w:pPr>
      <w:tabs>
        <w:tab w:val="clear" w:pos="720"/>
        <w:tab w:val="left" w:pos="1134" w:leader="none"/>
      </w:tabs>
      <w:spacing w:lineRule="auto" w:line="360" w:before="0" w:after="0"/>
      <w:ind w:left="1134" w:hanging="1133"/>
      <w:contextualSpacing w:val="false"/>
      <w:jc w:val="both"/>
    </w:pPr>
    <w:rPr>
      <w:szCs w:val="20"/>
    </w:rPr>
  </w:style>
  <w:style w:type="paragraph" w:styleId="117" w:customStyle="1">
    <w:name w:val="Пункт1"/>
    <w:basedOn w:val="Normal"/>
    <w:qFormat/>
    <w:pPr>
      <w:tabs>
        <w:tab w:val="clear" w:pos="720"/>
        <w:tab w:val="left" w:pos="360" w:leader="none"/>
      </w:tabs>
      <w:spacing w:lineRule="auto" w:line="360" w:before="240" w:after="0"/>
      <w:ind w:left="360" w:hanging="360"/>
      <w:contextualSpacing w:val="false"/>
      <w:jc w:val="center"/>
    </w:pPr>
    <w:rPr>
      <w:rFonts w:ascii="Arial" w:hAnsi="Arial"/>
      <w:b/>
    </w:rPr>
  </w:style>
  <w:style w:type="paragraph" w:styleId="Style54" w:customStyle="1">
    <w:name w:val="Подподподпункт"/>
    <w:basedOn w:val="Normal"/>
    <w:qFormat/>
    <w:pPr>
      <w:numPr>
        <w:ilvl w:val="4"/>
        <w:numId w:val="1"/>
      </w:numPr>
      <w:tabs>
        <w:tab w:val="clear" w:pos="720"/>
        <w:tab w:val="left" w:pos="1134" w:leader="none"/>
        <w:tab w:val="left" w:pos="1701" w:leader="none"/>
      </w:tabs>
      <w:spacing w:lineRule="auto" w:line="360" w:before="0" w:after="0"/>
      <w:contextualSpacing w:val="false"/>
      <w:jc w:val="both"/>
    </w:pPr>
    <w:rPr>
      <w:szCs w:val="20"/>
    </w:rPr>
  </w:style>
  <w:style w:type="paragraph" w:styleId="Style55" w:customStyle="1">
    <w:name w:val="Пункт Знак"/>
    <w:basedOn w:val="Normal"/>
    <w:qFormat/>
    <w:pPr>
      <w:tabs>
        <w:tab w:val="clear" w:pos="720"/>
        <w:tab w:val="left" w:pos="357" w:leader="none"/>
        <w:tab w:val="left" w:pos="851" w:leader="none"/>
        <w:tab w:val="left" w:pos="1134" w:leader="none"/>
      </w:tabs>
      <w:spacing w:lineRule="auto" w:line="360" w:before="0" w:after="0"/>
      <w:contextualSpacing w:val="false"/>
      <w:jc w:val="both"/>
    </w:pPr>
    <w:rPr>
      <w:b/>
      <w:szCs w:val="20"/>
    </w:rPr>
  </w:style>
  <w:style w:type="paragraph" w:styleId="Style56" w:customStyle="1">
    <w:name w:val="Текст таблицы"/>
    <w:basedOn w:val="Normal"/>
    <w:qFormat/>
    <w:pPr>
      <w:spacing w:before="40" w:after="40"/>
      <w:ind w:left="57" w:right="57" w:hanging="0"/>
      <w:contextualSpacing w:val="false"/>
    </w:pPr>
    <w:rPr>
      <w:sz w:val="24"/>
      <w:szCs w:val="24"/>
    </w:rPr>
  </w:style>
  <w:style w:type="paragraph" w:styleId="Style57" w:customStyle="1">
    <w:name w:val="Обычный+ без отступа"/>
    <w:basedOn w:val="Normal"/>
    <w:qFormat/>
    <w:pPr>
      <w:spacing w:lineRule="auto" w:line="360" w:before="120" w:after="0"/>
      <w:contextualSpacing w:val="false"/>
      <w:jc w:val="both"/>
    </w:pPr>
    <w:rPr>
      <w:rFonts w:eastAsia="MS Mincho"/>
    </w:rPr>
  </w:style>
  <w:style w:type="paragraph" w:styleId="1-21" w:customStyle="1">
    <w:name w:val="Средняя сетка 1 - Акцент 21"/>
    <w:basedOn w:val="Normal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8" w:customStyle="1">
    <w:name w:val="Стиль1"/>
    <w:uiPriority w:val="99"/>
    <w:qFormat/>
    <w:rsid w:val="00f001e4"/>
  </w:style>
  <w:style w:type="numbering" w:styleId="217" w:customStyle="1">
    <w:name w:val="Стиль2"/>
    <w:uiPriority w:val="99"/>
    <w:qFormat/>
    <w:rsid w:val="006629c9"/>
  </w:style>
  <w:style w:type="numbering" w:styleId="123" w:customStyle="1">
    <w:name w:val="Стиль нумерованный 12 пт полужирный"/>
    <w:qFormat/>
  </w:style>
  <w:style w:type="table" w:default="1" w:styleId="a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f1">
    <w:name w:val="Table Grid"/>
    <w:basedOn w:val="a7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2">
    <w:name w:val="Сетка таблицы1"/>
    <w:basedOn w:val="a7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image" Target="media/image1.jpeg"/><Relationship Id="rId8" Type="http://schemas.openxmlformats.org/officeDocument/2006/relationships/header" Target="header6.xml"/><Relationship Id="rId9" Type="http://schemas.openxmlformats.org/officeDocument/2006/relationships/header" Target="header7.xml"/><Relationship Id="rId10" Type="http://schemas.openxmlformats.org/officeDocument/2006/relationships/footnotes" Target="footnotes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3529B-ED1D-4D7F-9921-8500D5F6A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Application>AlterOffice/3.4.0.9$Linux_X86_64 LibreOffice_project/b8daf9e823b1a5463a2f48435ddc2e8696e7d4fc</Application>
  <AppVersion>15.0000</AppVersion>
  <Pages>22</Pages>
  <Words>4097</Words>
  <Characters>28049</Characters>
  <CharactersWithSpaces>31716</CharactersWithSpaces>
  <Paragraphs>542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2021-04-04T09:36:00Z</dcterms:created>
  <dc:creator>Быстров Олег Геннадьевич</dc:creator>
  <dc:description/>
  <dc:language>ru-RU</dc:language>
  <cp:lastModifiedBy>zabelkinans@corp.gidroogk.com</cp:lastModifiedBy>
  <cp:lastPrinted>2026-07-15T13:17:00Z</cp:lastPrinted>
  <dcterms:modified xsi:type="dcterms:W3CDTF">2026-09-08T13:02:25Z</dcterms:modified>
  <cp:revision>208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